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jc w:val="center"/>
        <w:tblLayout w:type="fixed"/>
        <w:tblCellMar>
          <w:left w:w="70" w:type="dxa"/>
          <w:right w:w="70" w:type="dxa"/>
        </w:tblCellMar>
        <w:tblLook w:val="04A0" w:firstRow="1" w:lastRow="0" w:firstColumn="1" w:lastColumn="0" w:noHBand="0" w:noVBand="1"/>
      </w:tblPr>
      <w:tblGrid>
        <w:gridCol w:w="1400"/>
        <w:gridCol w:w="9000"/>
      </w:tblGrid>
      <w:tr w:rsidR="00844322" w:rsidTr="00844322">
        <w:trPr>
          <w:jc w:val="center"/>
        </w:trPr>
        <w:tc>
          <w:tcPr>
            <w:tcW w:w="1400" w:type="dxa"/>
            <w:hideMark/>
          </w:tcPr>
          <w:p w:rsidR="00844322" w:rsidRDefault="00844322" w:rsidP="00844322">
            <w:pPr>
              <w:spacing w:after="0"/>
              <w:jc w:val="center"/>
              <w:rPr>
                <w:rFonts w:ascii="Arial" w:hAnsi="Arial" w:cs="Arial"/>
                <w:b/>
                <w:sz w:val="28"/>
              </w:rPr>
            </w:pPr>
            <w:r>
              <w:rPr>
                <w:rFonts w:ascii="Arial" w:hAnsi="Arial" w:cs="Arial"/>
                <w:b/>
                <w:noProof/>
                <w:sz w:val="28"/>
                <w:lang w:val="it-IT" w:eastAsia="it-IT"/>
              </w:rPr>
              <w:drawing>
                <wp:inline distT="0" distB="0" distL="0" distR="0">
                  <wp:extent cx="800735" cy="788035"/>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735" cy="788035"/>
                          </a:xfrm>
                          <a:prstGeom prst="rect">
                            <a:avLst/>
                          </a:prstGeom>
                          <a:noFill/>
                          <a:ln>
                            <a:noFill/>
                          </a:ln>
                        </pic:spPr>
                      </pic:pic>
                    </a:graphicData>
                  </a:graphic>
                </wp:inline>
              </w:drawing>
            </w:r>
          </w:p>
        </w:tc>
        <w:tc>
          <w:tcPr>
            <w:tcW w:w="9000" w:type="dxa"/>
          </w:tcPr>
          <w:p w:rsidR="00844322" w:rsidRPr="00844322" w:rsidRDefault="00844322" w:rsidP="00844322">
            <w:pPr>
              <w:spacing w:after="0"/>
              <w:jc w:val="center"/>
              <w:rPr>
                <w:rFonts w:ascii="Arial" w:hAnsi="Arial" w:cs="Arial"/>
                <w:b/>
                <w:lang w:val="it-IT"/>
              </w:rPr>
            </w:pPr>
            <w:r w:rsidRPr="00844322">
              <w:rPr>
                <w:rFonts w:ascii="Arial" w:hAnsi="Arial" w:cs="Arial"/>
                <w:b/>
                <w:lang w:val="it-IT"/>
              </w:rPr>
              <w:t>ORDINE DEI FARMACISTI DELLA PROVINCIA DI FERRARA</w:t>
            </w:r>
          </w:p>
          <w:p w:rsidR="00844322" w:rsidRPr="00844322" w:rsidRDefault="00844322" w:rsidP="00844322">
            <w:pPr>
              <w:spacing w:after="0"/>
              <w:jc w:val="center"/>
              <w:rPr>
                <w:rFonts w:ascii="Arial" w:hAnsi="Arial" w:cs="Arial"/>
                <w:sz w:val="16"/>
                <w:szCs w:val="16"/>
                <w:lang w:val="it-IT"/>
              </w:rPr>
            </w:pPr>
            <w:r w:rsidRPr="00844322">
              <w:rPr>
                <w:rFonts w:ascii="Arial" w:hAnsi="Arial" w:cs="Arial"/>
                <w:sz w:val="16"/>
                <w:szCs w:val="16"/>
                <w:lang w:val="it-IT"/>
              </w:rPr>
              <w:t>Contrada della Rosa, 18 - 44121 Ferrara - Telefono 0532 / 248956 - Fax 0532 / 242170</w:t>
            </w:r>
          </w:p>
          <w:p w:rsidR="00844322" w:rsidRPr="00844322" w:rsidRDefault="00844322" w:rsidP="00844322">
            <w:pPr>
              <w:spacing w:after="0"/>
              <w:jc w:val="center"/>
              <w:rPr>
                <w:rFonts w:ascii="Arial" w:hAnsi="Arial" w:cs="Arial"/>
                <w:sz w:val="16"/>
                <w:szCs w:val="16"/>
                <w:lang w:val="it-IT"/>
              </w:rPr>
            </w:pPr>
            <w:r w:rsidRPr="00844322">
              <w:rPr>
                <w:rFonts w:ascii="Arial" w:hAnsi="Arial" w:cs="Arial"/>
                <w:sz w:val="16"/>
                <w:szCs w:val="16"/>
                <w:lang w:val="it-IT"/>
              </w:rPr>
              <w:t>info@ordinefarmacistiferrara.it   ordinefarmacistife@pec.fofi.it</w:t>
            </w:r>
          </w:p>
          <w:p w:rsidR="00844322" w:rsidRDefault="00844322" w:rsidP="00844322">
            <w:pPr>
              <w:spacing w:after="0"/>
              <w:jc w:val="center"/>
              <w:rPr>
                <w:rFonts w:ascii="Arial" w:hAnsi="Arial" w:cs="Arial"/>
                <w:sz w:val="16"/>
                <w:szCs w:val="16"/>
              </w:rPr>
            </w:pPr>
            <w:r>
              <w:rPr>
                <w:rFonts w:ascii="Arial" w:hAnsi="Arial" w:cs="Arial"/>
                <w:sz w:val="16"/>
                <w:szCs w:val="16"/>
              </w:rPr>
              <w:t>www.ordinefarmacistiferrara.it</w:t>
            </w:r>
          </w:p>
          <w:p w:rsidR="00844322" w:rsidRDefault="00844322" w:rsidP="00844322">
            <w:pPr>
              <w:spacing w:after="0"/>
              <w:jc w:val="center"/>
              <w:rPr>
                <w:rFonts w:ascii="Arial" w:hAnsi="Arial" w:cs="Arial"/>
                <w:sz w:val="16"/>
              </w:rPr>
            </w:pPr>
          </w:p>
        </w:tc>
      </w:tr>
    </w:tbl>
    <w:p w:rsidR="00844322" w:rsidRPr="00844322" w:rsidRDefault="00844322" w:rsidP="00844322">
      <w:pPr>
        <w:rPr>
          <w:rFonts w:ascii="Times New Roman" w:eastAsia="Times New Roman" w:hAnsi="Times New Roman" w:cs="Times New Roman"/>
          <w:lang w:val="it-IT"/>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844322">
        <w:rPr>
          <w:rFonts w:ascii="Times New Roman" w:eastAsia="Times New Roman" w:hAnsi="Times New Roman" w:cs="Times New Roman"/>
          <w:lang w:val="it-IT"/>
        </w:rPr>
        <w:t>Ferrara, 11 novembre 2019</w:t>
      </w:r>
    </w:p>
    <w:p w:rsidR="00844322" w:rsidRPr="00844322" w:rsidRDefault="00844322" w:rsidP="00844322">
      <w:pPr>
        <w:rPr>
          <w:lang w:val="it-IT"/>
        </w:rPr>
      </w:pPr>
      <w:r w:rsidRPr="00844322">
        <w:rPr>
          <w:rFonts w:ascii="Times New Roman" w:eastAsia="Times New Roman" w:hAnsi="Times New Roman" w:cs="Times New Roman"/>
          <w:lang w:val="it-IT"/>
        </w:rPr>
        <w:t xml:space="preserve">Prot. </w:t>
      </w:r>
    </w:p>
    <w:p w:rsidR="00A71BFE" w:rsidRPr="00844322" w:rsidRDefault="00844322">
      <w:pPr>
        <w:pStyle w:val="Corpotesto"/>
        <w:rPr>
          <w:rFonts w:ascii="Times New Roman" w:hAnsi="Times New Roman" w:cs="Times New Roman"/>
          <w:lang w:val="it-IT"/>
        </w:rPr>
      </w:pPr>
      <w:r w:rsidRPr="00844322">
        <w:rPr>
          <w:lang w:val="it-IT"/>
        </w:rPr>
        <w:tab/>
      </w:r>
      <w:r w:rsidRPr="00844322">
        <w:rPr>
          <w:lang w:val="it-IT"/>
        </w:rPr>
        <w:tab/>
      </w:r>
      <w:r w:rsidRPr="00844322">
        <w:rPr>
          <w:lang w:val="it-IT"/>
        </w:rPr>
        <w:tab/>
      </w:r>
      <w:r w:rsidRPr="00844322">
        <w:rPr>
          <w:lang w:val="it-IT"/>
        </w:rPr>
        <w:tab/>
      </w:r>
      <w:r w:rsidRPr="00844322">
        <w:rPr>
          <w:lang w:val="it-IT"/>
        </w:rPr>
        <w:tab/>
      </w:r>
      <w:r w:rsidRPr="00844322">
        <w:rPr>
          <w:lang w:val="it-IT"/>
        </w:rPr>
        <w:tab/>
      </w:r>
      <w:r w:rsidR="006D3A39" w:rsidRPr="00844322">
        <w:rPr>
          <w:rFonts w:ascii="Times New Roman" w:hAnsi="Times New Roman" w:cs="Times New Roman"/>
          <w:lang w:val="it-IT"/>
        </w:rPr>
        <w:t xml:space="preserve">AI PRESIDENTI DEGLI ORDINI PROVINCIALI </w:t>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t>dei Farmacisti</w:t>
      </w:r>
    </w:p>
    <w:p w:rsidR="00844322" w:rsidRPr="00844322" w:rsidRDefault="00844322">
      <w:pPr>
        <w:pStyle w:val="Corpotesto"/>
        <w:rPr>
          <w:rFonts w:ascii="Times New Roman" w:hAnsi="Times New Roman" w:cs="Times New Roman"/>
          <w:lang w:val="it-IT"/>
        </w:rPr>
      </w:pP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Oggetto: adempimenti D.Lgs. 19 agosto 2016, n. 175, “Testo unico in materia di società a partecipazione pubbliche” (TUSP).</w:t>
      </w:r>
    </w:p>
    <w:p w:rsidR="00844322" w:rsidRPr="00844322" w:rsidRDefault="00844322" w:rsidP="00844322">
      <w:pPr>
        <w:pStyle w:val="Corpotesto"/>
        <w:jc w:val="both"/>
        <w:rPr>
          <w:rFonts w:ascii="Times New Roman" w:hAnsi="Times New Roman" w:cs="Times New Roman"/>
          <w:lang w:val="it-IT"/>
        </w:rPr>
      </w:pPr>
    </w:p>
    <w:p w:rsidR="00A71BFE" w:rsidRPr="00844322" w:rsidRDefault="00844322" w:rsidP="00844322">
      <w:pPr>
        <w:pStyle w:val="Corpotesto"/>
        <w:jc w:val="both"/>
        <w:rPr>
          <w:rFonts w:ascii="Times New Roman" w:hAnsi="Times New Roman" w:cs="Times New Roman"/>
          <w:lang w:val="it-IT"/>
        </w:rPr>
      </w:pPr>
      <w:r>
        <w:rPr>
          <w:rFonts w:ascii="Times New Roman" w:hAnsi="Times New Roman" w:cs="Times New Roman"/>
          <w:lang w:val="it-IT"/>
        </w:rPr>
        <w:tab/>
        <w:t>I</w:t>
      </w:r>
      <w:r w:rsidR="006D3A39" w:rsidRPr="00844322">
        <w:rPr>
          <w:rFonts w:ascii="Times New Roman" w:hAnsi="Times New Roman" w:cs="Times New Roman"/>
          <w:lang w:val="it-IT"/>
        </w:rPr>
        <w:t>n riferimento alla fattispecie indicata in oggetto, si segnala che, in assenza di partecipazioni in società da parte degli Ordini, sarà necessario adottare con sollecitudine una deliberazione che prenda atto dello status quo e, successivamente, procedere all'adempimento tramite l'applicativo messo a disposizione dal MEF.</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In assenza di tale provvedimento deliberativo, infatti, non sarà possibile procedere con la dichiarazione stessa, perché l'applicativo è bloccante.</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Infatti, l’'applicativo Partecipazioni del Portale Tesoro richiede l'inserimento del provvedimento di razionalizzazione periodica delle partecipazioni, adottato ai sensi dell’art. 20, comma 1, del TUSP.</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E</w:t>
      </w:r>
      <w:r w:rsidR="00844322">
        <w:rPr>
          <w:rFonts w:ascii="Times New Roman" w:hAnsi="Times New Roman" w:cs="Times New Roman"/>
          <w:lang w:val="it-IT"/>
        </w:rPr>
        <w:t>b</w:t>
      </w:r>
      <w:r w:rsidRPr="00844322">
        <w:rPr>
          <w:rFonts w:ascii="Times New Roman" w:hAnsi="Times New Roman" w:cs="Times New Roman"/>
          <w:lang w:val="it-IT"/>
        </w:rPr>
        <w:t>bene subito chiarire che una interpretazione letterale delle disposizioni di cui al D.LGs. 175/16 (TUSP) porta a ritenere che gli Ordini territoriali, che non detengano partecipazioni societarie direttamente o indirettamente, non debbano procedere alla redazione del provvedimento di razionalizzazione periodica delle partecipazioni, adottato ai sensi dell'art. 20, comma 1, del TUSP.</w:t>
      </w:r>
    </w:p>
    <w:p w:rsid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 xml:space="preserve">In conclusione, si allega un facsimile di delibera, sull’assenza di detenzione di partecipazioni sia in forma diretta che indiretta, che gli Ordini potranno valutare se adottare (All. n. 1). Si ricorda come gli Ordini territoriali e la relativa Federazione, in quanto Enti pubblici non economici, rientrino nel campo di applicazione del TUSP e debbano procedere alla relativa comunicazione, anche se attestante la non detenzione di partecipazioni in società, attraverso l’applicativo Partecipazioni del Portale Tesoro https://portaletesoro.mef.gov.it. </w:t>
      </w:r>
    </w:p>
    <w:p w:rsid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 xml:space="preserve">Il sistema resterà aperto per l’invio delle comunicazioni fino al </w:t>
      </w:r>
      <w:r w:rsidR="00844322">
        <w:rPr>
          <w:rFonts w:ascii="Times New Roman" w:hAnsi="Times New Roman" w:cs="Times New Roman"/>
          <w:lang w:val="it-IT"/>
        </w:rPr>
        <w:t>31</w:t>
      </w:r>
      <w:r w:rsidRPr="00844322">
        <w:rPr>
          <w:rFonts w:ascii="Times New Roman" w:hAnsi="Times New Roman" w:cs="Times New Roman"/>
          <w:lang w:val="it-IT"/>
        </w:rPr>
        <w:t xml:space="preserve"> </w:t>
      </w:r>
      <w:r w:rsidR="00844322">
        <w:rPr>
          <w:rFonts w:ascii="Times New Roman" w:hAnsi="Times New Roman" w:cs="Times New Roman"/>
          <w:lang w:val="it-IT"/>
        </w:rPr>
        <w:t>dicembre</w:t>
      </w:r>
      <w:r w:rsidRPr="00844322">
        <w:rPr>
          <w:rFonts w:ascii="Times New Roman" w:hAnsi="Times New Roman" w:cs="Times New Roman"/>
          <w:lang w:val="it-IT"/>
        </w:rPr>
        <w:t xml:space="preserve"> 2019. </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Cordiali saluti</w:t>
      </w:r>
    </w:p>
    <w:p w:rsidR="00844322" w:rsidRPr="00844322" w:rsidRDefault="00844322" w:rsidP="00844322">
      <w:pPr>
        <w:pStyle w:val="Corpotesto"/>
        <w:jc w:val="both"/>
        <w:rPr>
          <w:rFonts w:ascii="Times New Roman" w:hAnsi="Times New Roman" w:cs="Times New Roman"/>
          <w:lang w:val="it-IT"/>
        </w:rPr>
      </w:pP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Pr="00844322">
        <w:rPr>
          <w:rFonts w:ascii="Times New Roman" w:hAnsi="Times New Roman" w:cs="Times New Roman"/>
          <w:lang w:val="it-IT"/>
        </w:rPr>
        <w:tab/>
      </w:r>
      <w:r w:rsidR="006D3A39" w:rsidRPr="00844322">
        <w:rPr>
          <w:rFonts w:ascii="Times New Roman" w:hAnsi="Times New Roman" w:cs="Times New Roman"/>
          <w:lang w:val="it-IT"/>
        </w:rPr>
        <w:t xml:space="preserve">Il PRESIDENTE </w:t>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t xml:space="preserve">                                  Dott. Livio Luciani</w:t>
      </w:r>
      <w:r>
        <w:rPr>
          <w:rFonts w:ascii="Times New Roman" w:hAnsi="Times New Roman" w:cs="Times New Roman"/>
          <w:lang w:val="it-IT"/>
        </w:rPr>
        <w:tab/>
      </w:r>
    </w:p>
    <w:p w:rsidR="00844322" w:rsidRDefault="00844322" w:rsidP="00844322">
      <w:pPr>
        <w:pStyle w:val="Corpotesto"/>
        <w:jc w:val="both"/>
        <w:rPr>
          <w:rFonts w:ascii="Times New Roman" w:hAnsi="Times New Roman" w:cs="Times New Roman"/>
          <w:lang w:val="it-IT"/>
        </w:rPr>
      </w:pPr>
    </w:p>
    <w:p w:rsidR="00844322" w:rsidRDefault="00844322" w:rsidP="00844322">
      <w:pPr>
        <w:pStyle w:val="Corpotesto"/>
        <w:jc w:val="both"/>
        <w:rPr>
          <w:rFonts w:ascii="Times New Roman" w:hAnsi="Times New Roman" w:cs="Times New Roman"/>
          <w:lang w:val="it-IT"/>
        </w:rPr>
      </w:pP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AII. n. 1</w:t>
      </w: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lastRenderedPageBreak/>
        <w:t>VISTO il decreto legislativo del Capo Provvisorio dello Stato 13 settembre 1946, n. 233, come modificato dalla legge 11 gennaio 2018, n. 3;</w:t>
      </w:r>
    </w:p>
    <w:p w:rsidR="0063158B" w:rsidRPr="00844322" w:rsidRDefault="0063158B" w:rsidP="00844322">
      <w:pPr>
        <w:pStyle w:val="Corpotesto"/>
        <w:jc w:val="both"/>
        <w:rPr>
          <w:rFonts w:ascii="Times New Roman" w:hAnsi="Times New Roman" w:cs="Times New Roman"/>
          <w:lang w:val="it-IT"/>
        </w:rPr>
      </w:pP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VISTA la nota del MEF del 22 febbraio 2019 recante “Revisione periodica delle partecipazioni pubbliche (art. 20 del D.Lgs. n. 175/2016) e censimento delle partecipazioni e dei rappresentanti in organi di governo di società ed enti al 31/12/2017 (art. 17 del DL n. 90/2014)”;</w:t>
      </w:r>
    </w:p>
    <w:p w:rsidR="0063158B" w:rsidRPr="00844322" w:rsidRDefault="0063158B" w:rsidP="00844322">
      <w:pPr>
        <w:pStyle w:val="Corpotesto"/>
        <w:jc w:val="both"/>
        <w:rPr>
          <w:rFonts w:ascii="Times New Roman" w:hAnsi="Times New Roman" w:cs="Times New Roman"/>
          <w:lang w:val="it-IT"/>
        </w:rPr>
      </w:pP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VISTO il decreto legislativo 19 agosto 2016, n. 175 e s.m.i. (Testo unico in materia di società a partecipazione pubbliche);</w:t>
      </w:r>
    </w:p>
    <w:p w:rsidR="0063158B" w:rsidRPr="00844322" w:rsidRDefault="0063158B" w:rsidP="00844322">
      <w:pPr>
        <w:pStyle w:val="Corpotesto"/>
        <w:jc w:val="both"/>
        <w:rPr>
          <w:rFonts w:ascii="Times New Roman" w:hAnsi="Times New Roman" w:cs="Times New Roman"/>
          <w:lang w:val="it-IT"/>
        </w:rPr>
      </w:pP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VISTO l'art. 17, comma 4, del D.L. 24/06/2014, n. 90 che prevede che “a decorrere dal 1° gennaio 2015, il Ministero dell'economia e delle finanze acquisisce le informazioni relative alle partecipazioni in società ed enti di diritto pubblico e di diritto privato detenute direttamente o indirettamente dalle amministrazioni pubbliche individuate dall'Istituto nazionale di statistica ai sensi dell'articolo 1 della legge 31 dicembre 2009, n. 196, e successive modificazioni, e da quelle di cui all'articolo 1, comma 2, del decreto legislativo 30 marzo 2001, n. 165, e successive modificazioni....Omissis...";</w:t>
      </w:r>
    </w:p>
    <w:p w:rsidR="0063158B" w:rsidRPr="00844322" w:rsidRDefault="0063158B" w:rsidP="00844322">
      <w:pPr>
        <w:pStyle w:val="Corpotesto"/>
        <w:jc w:val="both"/>
        <w:rPr>
          <w:rFonts w:ascii="Times New Roman" w:hAnsi="Times New Roman" w:cs="Times New Roman"/>
          <w:lang w:val="it-IT"/>
        </w:rPr>
      </w:pP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VISTO che l'art. 1, comma 2, del D.Lgs. n. 165 del 2001, dispone che “per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p w:rsidR="0063158B" w:rsidRPr="00844322" w:rsidRDefault="0063158B" w:rsidP="00844322">
      <w:pPr>
        <w:pStyle w:val="Corpotesto"/>
        <w:jc w:val="both"/>
        <w:rPr>
          <w:rFonts w:ascii="Times New Roman" w:hAnsi="Times New Roman" w:cs="Times New Roman"/>
          <w:lang w:val="it-IT"/>
        </w:rPr>
      </w:pP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CONSIDERATO che la legge 11 gennaio 2018, n. 3 ha stabilito che gli Ordini delle professioni sanitarie sono enti pubblici non economici e agiscono quali organi sussidiari dello Stato al fine di tutelare gli interessi pubblici, garantiti dall'ordinamento, connessi all'esercizio professionale;</w:t>
      </w:r>
    </w:p>
    <w:p w:rsidR="0063158B" w:rsidRPr="00844322" w:rsidRDefault="0063158B" w:rsidP="00844322">
      <w:pPr>
        <w:pStyle w:val="Corpotesto"/>
        <w:jc w:val="both"/>
        <w:rPr>
          <w:rFonts w:ascii="Times New Roman" w:hAnsi="Times New Roman" w:cs="Times New Roman"/>
          <w:lang w:val="it-IT"/>
        </w:rPr>
      </w:pP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TENUTO CONTO che le amministrazioni pubbliche rientranti nel campo di applicazione del TUSP di cui al D.Lgs. 19 agosto 2016, n. 175 (Testo unico in materia di società a partecipazione pubbliche) sono quelle indicate nell'art. 1, comma 2, del D.Lgs. 30 marzo 2001, n. 165;</w:t>
      </w:r>
    </w:p>
    <w:p w:rsidR="0063158B" w:rsidRPr="00844322" w:rsidRDefault="0063158B" w:rsidP="00844322">
      <w:pPr>
        <w:pStyle w:val="Corpotesto"/>
        <w:jc w:val="both"/>
        <w:rPr>
          <w:rFonts w:ascii="Times New Roman" w:hAnsi="Times New Roman" w:cs="Times New Roman"/>
          <w:lang w:val="it-IT"/>
        </w:rPr>
      </w:pP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 xml:space="preserve">CONSIDERATO che l'Ordine, in quanto Ente pubblico non economico, rientra nel campo di applicazione del TUSP e deve procedere alla relativa comunicazione, anche se attestante la non </w:t>
      </w:r>
      <w:r w:rsidRPr="00844322">
        <w:rPr>
          <w:rFonts w:ascii="Times New Roman" w:hAnsi="Times New Roman" w:cs="Times New Roman"/>
          <w:lang w:val="it-IT"/>
        </w:rPr>
        <w:lastRenderedPageBreak/>
        <w:t xml:space="preserve">detenzione di partecipazioni in società, attraverso l’applicativo Partecipazioni del Portale Tesoro </w:t>
      </w:r>
      <w:hyperlink r:id="rId8" w:history="1">
        <w:r w:rsidR="0063158B" w:rsidRPr="00E03398">
          <w:rPr>
            <w:rStyle w:val="Collegamentoipertestuale"/>
            <w:rFonts w:ascii="Times New Roman" w:hAnsi="Times New Roman" w:cs="Times New Roman"/>
            <w:lang w:val="it-IT"/>
          </w:rPr>
          <w:t>https://portaletesoro.mef.gov.it</w:t>
        </w:r>
      </w:hyperlink>
      <w:r w:rsidRPr="00844322">
        <w:rPr>
          <w:rFonts w:ascii="Times New Roman" w:hAnsi="Times New Roman" w:cs="Times New Roman"/>
          <w:lang w:val="it-IT"/>
        </w:rPr>
        <w:t>.;</w:t>
      </w:r>
    </w:p>
    <w:p w:rsidR="0063158B" w:rsidRPr="00844322" w:rsidRDefault="0063158B" w:rsidP="00844322">
      <w:pPr>
        <w:pStyle w:val="Corpotesto"/>
        <w:jc w:val="both"/>
        <w:rPr>
          <w:rFonts w:ascii="Times New Roman" w:hAnsi="Times New Roman" w:cs="Times New Roman"/>
          <w:lang w:val="it-IT"/>
        </w:rPr>
      </w:pP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CONSIDERATO che questa Amministrazione non detiene partecipazioni, né in forma diretta, né indiretta;</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RITENUTO la necessità di adempiere al disposto normativo attraverso apposito provvedimento di dichiarazione di assenza di partecipazioni, così come indicato nella nota del MEF del 22 febbraio 2019;</w:t>
      </w:r>
    </w:p>
    <w:p w:rsidR="0063158B" w:rsidRDefault="006D3A39" w:rsidP="0063158B">
      <w:pPr>
        <w:pStyle w:val="Corpotesto"/>
        <w:jc w:val="center"/>
        <w:rPr>
          <w:rFonts w:ascii="Times New Roman" w:hAnsi="Times New Roman" w:cs="Times New Roman"/>
          <w:lang w:val="it-IT"/>
        </w:rPr>
      </w:pPr>
      <w:r w:rsidRPr="00844322">
        <w:rPr>
          <w:rFonts w:ascii="Times New Roman" w:hAnsi="Times New Roman" w:cs="Times New Roman"/>
          <w:lang w:val="it-IT"/>
        </w:rPr>
        <w:t>DELIBERA</w:t>
      </w:r>
    </w:p>
    <w:p w:rsid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di dare atto dell'assenza di detenzione di partecipazioni sia in forma diretta che indiretta;</w:t>
      </w:r>
      <w:r w:rsidR="0063158B">
        <w:rPr>
          <w:rFonts w:ascii="Times New Roman" w:hAnsi="Times New Roman" w:cs="Times New Roman"/>
          <w:lang w:val="it-IT"/>
        </w:rPr>
        <w:t xml:space="preserve"> </w:t>
      </w:r>
      <w:bookmarkStart w:id="0" w:name="_GoBack"/>
      <w:bookmarkEnd w:id="0"/>
      <w:r w:rsidRPr="00844322">
        <w:rPr>
          <w:rFonts w:ascii="Times New Roman" w:hAnsi="Times New Roman" w:cs="Times New Roman"/>
          <w:lang w:val="it-IT"/>
        </w:rPr>
        <w:t>di inoltrare la presente deliberazione ai fini della dichiarazione di assenza di partecipazioni, sull'applicativo Partecipazioni del Portale Tesoro;</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 xml:space="preserve">il presente provvedimento non comporta impegno di spesa. </w:t>
      </w:r>
    </w:p>
    <w:sectPr w:rsidR="00A71BFE" w:rsidRPr="00844322" w:rsidSect="0063158B">
      <w:pgSz w:w="12240" w:h="15840"/>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11" w:rsidRDefault="00412A11">
      <w:pPr>
        <w:spacing w:after="0"/>
      </w:pPr>
      <w:r>
        <w:separator/>
      </w:r>
    </w:p>
  </w:endnote>
  <w:endnote w:type="continuationSeparator" w:id="0">
    <w:p w:rsidR="00412A11" w:rsidRDefault="00412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11" w:rsidRDefault="00412A11">
      <w:r>
        <w:separator/>
      </w:r>
    </w:p>
  </w:footnote>
  <w:footnote w:type="continuationSeparator" w:id="0">
    <w:p w:rsidR="00412A11" w:rsidRDefault="00412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09E287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FD5B30D"/>
    <w:multiLevelType w:val="multilevel"/>
    <w:tmpl w:val="450061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83DA1"/>
    <w:rsid w:val="00412A11"/>
    <w:rsid w:val="004E29B3"/>
    <w:rsid w:val="00590D07"/>
    <w:rsid w:val="0063158B"/>
    <w:rsid w:val="006D3A39"/>
    <w:rsid w:val="00784D58"/>
    <w:rsid w:val="00844322"/>
    <w:rsid w:val="008D6863"/>
    <w:rsid w:val="00A71BFE"/>
    <w:rsid w:val="00B86B75"/>
    <w:rsid w:val="00BC48D5"/>
    <w:rsid w:val="00C36279"/>
    <w:rsid w:val="00E315A3"/>
    <w:rsid w:val="00EE21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6BC49-6322-4FB6-83C2-3EC8AA24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4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tesoro.mef.gov.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889</Words>
  <Characters>5070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Ordine Farmacisti</dc:creator>
  <cp:lastModifiedBy>Ordine Farmacisti</cp:lastModifiedBy>
  <cp:revision>6</cp:revision>
  <cp:lastPrinted>2019-11-06T11:15:00Z</cp:lastPrinted>
  <dcterms:created xsi:type="dcterms:W3CDTF">2019-11-06T11:03:00Z</dcterms:created>
  <dcterms:modified xsi:type="dcterms:W3CDTF">2019-11-06T11:21:00Z</dcterms:modified>
</cp:coreProperties>
</file>