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392C" w14:textId="6113E919" w:rsidR="001F7884" w:rsidRPr="00934E3D" w:rsidRDefault="00C16F98" w:rsidP="00DC0F05">
      <w:pPr>
        <w:spacing w:after="40" w:line="240" w:lineRule="auto"/>
        <w:rPr>
          <w:rFonts w:ascii="Arial" w:hAnsi="Arial"/>
          <w:color w:val="002060"/>
          <w:sz w:val="18"/>
          <w:szCs w:val="18"/>
        </w:rPr>
      </w:pPr>
      <w:r>
        <w:rPr>
          <w:rFonts w:ascii="Arial" w:hAnsi="Arial"/>
          <w:b/>
        </w:rPr>
        <w:t xml:space="preserve"> </w:t>
      </w:r>
      <w:r w:rsidR="001F7884">
        <w:rPr>
          <w:rFonts w:ascii="Arial" w:hAnsi="Arial"/>
          <w:b/>
        </w:rPr>
        <w:tab/>
      </w:r>
      <w:r w:rsidR="001F7884">
        <w:rPr>
          <w:rFonts w:ascii="Arial" w:hAnsi="Arial"/>
          <w:b/>
        </w:rPr>
        <w:tab/>
      </w:r>
      <w:r w:rsidR="001F7884">
        <w:rPr>
          <w:rFonts w:ascii="Arial" w:hAnsi="Arial"/>
          <w:b/>
        </w:rPr>
        <w:tab/>
      </w:r>
      <w:r w:rsidR="001F7884">
        <w:rPr>
          <w:rFonts w:ascii="Arial" w:hAnsi="Arial"/>
          <w:b/>
        </w:rPr>
        <w:tab/>
      </w:r>
      <w:r w:rsidR="001F7884">
        <w:rPr>
          <w:rFonts w:ascii="Arial" w:hAnsi="Arial"/>
          <w:b/>
        </w:rPr>
        <w:tab/>
      </w:r>
    </w:p>
    <w:p w14:paraId="3D187C14" w14:textId="53E23F6B" w:rsidR="001F7884" w:rsidRDefault="001F7884" w:rsidP="00DC0F05">
      <w:pPr>
        <w:tabs>
          <w:tab w:val="left" w:pos="6096"/>
        </w:tabs>
        <w:spacing w:after="0" w:line="240" w:lineRule="auto"/>
        <w:rPr>
          <w:rFonts w:ascii="Arial" w:hAnsi="Arial"/>
          <w:sz w:val="24"/>
          <w:szCs w:val="24"/>
        </w:rPr>
      </w:pPr>
      <w:r w:rsidRPr="00934E3D">
        <w:rPr>
          <w:rFonts w:ascii="Arial" w:hAnsi="Arial"/>
          <w:color w:val="002060"/>
          <w:sz w:val="18"/>
          <w:szCs w:val="18"/>
        </w:rPr>
        <w:t xml:space="preserve"> </w:t>
      </w:r>
    </w:p>
    <w:p w14:paraId="6F5CEF84" w14:textId="1550E52C" w:rsidR="001F7884" w:rsidRDefault="001F7884" w:rsidP="001F7884">
      <w:pPr>
        <w:tabs>
          <w:tab w:val="left" w:pos="6096"/>
        </w:tabs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DC0F05">
        <w:rPr>
          <w:rFonts w:ascii="Arial" w:hAnsi="Arial"/>
          <w:sz w:val="24"/>
          <w:szCs w:val="24"/>
        </w:rPr>
        <w:t>Agli iscritti</w:t>
      </w:r>
      <w:r w:rsidRPr="002F4E55">
        <w:rPr>
          <w:rFonts w:ascii="Arial" w:hAnsi="Arial"/>
          <w:sz w:val="24"/>
          <w:szCs w:val="24"/>
        </w:rPr>
        <w:t xml:space="preserve">                                                            </w:t>
      </w:r>
    </w:p>
    <w:p w14:paraId="5B5D9C81" w14:textId="77777777" w:rsidR="001F7884" w:rsidRDefault="001F7884" w:rsidP="001F7884">
      <w:pPr>
        <w:tabs>
          <w:tab w:val="left" w:pos="6096"/>
        </w:tabs>
        <w:spacing w:after="0" w:line="240" w:lineRule="auto"/>
        <w:ind w:firstLine="5387"/>
        <w:rPr>
          <w:rFonts w:ascii="Arial" w:hAnsi="Arial"/>
          <w:sz w:val="24"/>
          <w:szCs w:val="24"/>
        </w:rPr>
      </w:pPr>
    </w:p>
    <w:p w14:paraId="3149DCF4" w14:textId="5B74872C" w:rsidR="001F7884" w:rsidRPr="00FF7232" w:rsidRDefault="001F7884" w:rsidP="001F7884">
      <w:pPr>
        <w:tabs>
          <w:tab w:val="left" w:pos="6096"/>
        </w:tabs>
        <w:spacing w:after="0" w:line="240" w:lineRule="auto"/>
        <w:ind w:firstLine="538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000DCC52" w14:textId="79AE392E" w:rsidR="00EF3AB1" w:rsidRDefault="00EF3AB1" w:rsidP="00EF3AB1">
      <w:pPr>
        <w:spacing w:after="80" w:line="240" w:lineRule="auto"/>
        <w:ind w:right="3259"/>
        <w:jc w:val="both"/>
        <w:rPr>
          <w:rFonts w:ascii="Arial" w:hAnsi="Arial"/>
          <w:sz w:val="24"/>
          <w:szCs w:val="24"/>
        </w:rPr>
      </w:pPr>
    </w:p>
    <w:p w14:paraId="4A0958AE" w14:textId="77777777" w:rsidR="001F7884" w:rsidRDefault="001F7884" w:rsidP="00EF3AB1">
      <w:pPr>
        <w:spacing w:after="80" w:line="240" w:lineRule="auto"/>
        <w:ind w:right="3259"/>
        <w:jc w:val="both"/>
        <w:rPr>
          <w:rFonts w:ascii="Arial" w:hAnsi="Arial"/>
          <w:sz w:val="24"/>
          <w:szCs w:val="24"/>
        </w:rPr>
      </w:pPr>
    </w:p>
    <w:p w14:paraId="2C641E70" w14:textId="233A4A95" w:rsidR="00910D5A" w:rsidRDefault="005F11CB" w:rsidP="00EF44F5">
      <w:pPr>
        <w:spacing w:after="80" w:line="240" w:lineRule="auto"/>
        <w:ind w:right="-285"/>
        <w:jc w:val="both"/>
        <w:rPr>
          <w:rFonts w:ascii="Arial" w:hAnsi="Arial"/>
          <w:sz w:val="24"/>
          <w:szCs w:val="24"/>
        </w:rPr>
      </w:pPr>
      <w:r w:rsidRPr="00FF7232">
        <w:rPr>
          <w:rFonts w:ascii="Arial" w:hAnsi="Arial"/>
          <w:sz w:val="24"/>
          <w:szCs w:val="24"/>
        </w:rPr>
        <w:t>Oggetto:</w:t>
      </w:r>
      <w:r w:rsidR="0022720B" w:rsidRPr="00FF7232">
        <w:rPr>
          <w:rFonts w:ascii="Arial" w:hAnsi="Arial"/>
          <w:sz w:val="24"/>
          <w:szCs w:val="24"/>
        </w:rPr>
        <w:t xml:space="preserve"> </w:t>
      </w:r>
      <w:r w:rsidR="00E04E07">
        <w:rPr>
          <w:rFonts w:ascii="Arial" w:hAnsi="Arial"/>
          <w:sz w:val="24"/>
          <w:szCs w:val="24"/>
        </w:rPr>
        <w:t xml:space="preserve">Circolare su </w:t>
      </w:r>
      <w:r w:rsidR="00EF44F5">
        <w:rPr>
          <w:rFonts w:ascii="Arial" w:hAnsi="Arial"/>
          <w:sz w:val="24"/>
          <w:szCs w:val="24"/>
        </w:rPr>
        <w:t xml:space="preserve">previdenza complementare </w:t>
      </w:r>
      <w:r w:rsidR="001959ED">
        <w:rPr>
          <w:rFonts w:ascii="Arial" w:hAnsi="Arial"/>
          <w:sz w:val="24"/>
          <w:szCs w:val="24"/>
        </w:rPr>
        <w:t>–</w:t>
      </w:r>
      <w:r w:rsidR="00EF44F5">
        <w:rPr>
          <w:rFonts w:ascii="Arial" w:hAnsi="Arial"/>
          <w:sz w:val="24"/>
          <w:szCs w:val="24"/>
        </w:rPr>
        <w:t xml:space="preserve"> </w:t>
      </w:r>
      <w:r w:rsidR="00AA7D9B">
        <w:rPr>
          <w:rFonts w:ascii="Arial" w:hAnsi="Arial"/>
          <w:sz w:val="24"/>
          <w:szCs w:val="24"/>
        </w:rPr>
        <w:t>FondoSanità</w:t>
      </w:r>
    </w:p>
    <w:p w14:paraId="1AABCED2" w14:textId="77777777" w:rsidR="0026787C" w:rsidRDefault="0026787C" w:rsidP="00C16F98">
      <w:pPr>
        <w:spacing w:after="80" w:line="240" w:lineRule="auto"/>
        <w:ind w:right="5103"/>
        <w:jc w:val="both"/>
        <w:rPr>
          <w:rFonts w:ascii="Arial" w:hAnsi="Arial"/>
          <w:sz w:val="24"/>
          <w:szCs w:val="24"/>
        </w:rPr>
      </w:pPr>
    </w:p>
    <w:p w14:paraId="7DCA2F5B" w14:textId="02965EC7" w:rsidR="00C54A65" w:rsidRDefault="00545DDE" w:rsidP="00C16F98">
      <w:pPr>
        <w:spacing w:after="80" w:line="240" w:lineRule="auto"/>
        <w:ind w:right="510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94358B">
        <w:rPr>
          <w:rFonts w:ascii="Arial" w:hAnsi="Arial"/>
          <w:sz w:val="24"/>
          <w:szCs w:val="24"/>
        </w:rPr>
        <w:t>Car</w:t>
      </w:r>
      <w:r w:rsidR="0026787C">
        <w:rPr>
          <w:rFonts w:ascii="Arial" w:hAnsi="Arial"/>
          <w:sz w:val="24"/>
          <w:szCs w:val="24"/>
        </w:rPr>
        <w:t xml:space="preserve">i </w:t>
      </w:r>
      <w:r w:rsidR="00DC0F05">
        <w:rPr>
          <w:rFonts w:ascii="Arial" w:hAnsi="Arial"/>
          <w:sz w:val="24"/>
          <w:szCs w:val="24"/>
        </w:rPr>
        <w:t>Colleghi</w:t>
      </w:r>
      <w:r w:rsidR="0094358B">
        <w:rPr>
          <w:rFonts w:ascii="Arial" w:hAnsi="Arial"/>
          <w:sz w:val="24"/>
          <w:szCs w:val="24"/>
        </w:rPr>
        <w:t>,</w:t>
      </w:r>
    </w:p>
    <w:p w14:paraId="1EF4239A" w14:textId="77777777" w:rsidR="00B44AAE" w:rsidRDefault="00B44AAE" w:rsidP="00B44AAE">
      <w:pPr>
        <w:spacing w:after="0" w:line="240" w:lineRule="auto"/>
        <w:ind w:right="5103"/>
        <w:jc w:val="both"/>
        <w:rPr>
          <w:rFonts w:ascii="Arial" w:hAnsi="Arial"/>
          <w:sz w:val="24"/>
          <w:szCs w:val="24"/>
        </w:rPr>
      </w:pPr>
    </w:p>
    <w:p w14:paraId="19891379" w14:textId="11D7BE4C" w:rsidR="00EF44F5" w:rsidRDefault="00EF44F5" w:rsidP="00B44AAE">
      <w:pPr>
        <w:spacing w:after="8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reputo </w:t>
      </w:r>
      <w:r w:rsidR="00DC0F05">
        <w:rPr>
          <w:rFonts w:ascii="Arial" w:hAnsi="Arial"/>
          <w:sz w:val="24"/>
          <w:szCs w:val="24"/>
        </w:rPr>
        <w:t>opportuno</w:t>
      </w:r>
      <w:r>
        <w:rPr>
          <w:rFonts w:ascii="Arial" w:hAnsi="Arial"/>
          <w:sz w:val="24"/>
          <w:szCs w:val="24"/>
        </w:rPr>
        <w:t xml:space="preserve"> richiamare la Vostra attenzione sull’importanza della </w:t>
      </w:r>
      <w:r w:rsidRPr="00AA7D9B">
        <w:rPr>
          <w:rFonts w:ascii="Arial" w:hAnsi="Arial"/>
          <w:sz w:val="24"/>
          <w:szCs w:val="24"/>
        </w:rPr>
        <w:t>previdenza complementare</w:t>
      </w:r>
      <w:r>
        <w:rPr>
          <w:rFonts w:ascii="Arial" w:hAnsi="Arial"/>
          <w:sz w:val="24"/>
          <w:szCs w:val="24"/>
        </w:rPr>
        <w:t xml:space="preserve">, in quanto </w:t>
      </w:r>
      <w:r w:rsidRPr="0082473A">
        <w:rPr>
          <w:rFonts w:ascii="Arial" w:hAnsi="Arial"/>
          <w:b/>
          <w:bCs/>
          <w:sz w:val="24"/>
          <w:szCs w:val="24"/>
        </w:rPr>
        <w:t xml:space="preserve">nel </w:t>
      </w:r>
      <w:r w:rsidRPr="00AA7D9B">
        <w:rPr>
          <w:rFonts w:ascii="Arial" w:hAnsi="Arial"/>
          <w:b/>
          <w:bCs/>
          <w:sz w:val="24"/>
          <w:szCs w:val="24"/>
        </w:rPr>
        <w:t xml:space="preserve">contesto attuale, </w:t>
      </w:r>
      <w:r w:rsidRPr="0082473A">
        <w:rPr>
          <w:rFonts w:ascii="Arial" w:hAnsi="Arial"/>
          <w:sz w:val="24"/>
          <w:szCs w:val="24"/>
        </w:rPr>
        <w:t>caratterizzato da dinamiche demografiche sfavorevoli,</w:t>
      </w:r>
      <w:r w:rsidRPr="00EF44F5">
        <w:rPr>
          <w:rFonts w:ascii="Arial" w:hAnsi="Arial"/>
          <w:sz w:val="24"/>
          <w:szCs w:val="24"/>
        </w:rPr>
        <w:t xml:space="preserve"> allungamento dell’aspettativa di vita e riduzione del tasso di sostituzione del sistema pensionistico obbligatorio, </w:t>
      </w:r>
      <w:r w:rsidRPr="00AA7D9B">
        <w:rPr>
          <w:rFonts w:ascii="Arial" w:hAnsi="Arial"/>
          <w:b/>
          <w:bCs/>
          <w:sz w:val="24"/>
          <w:szCs w:val="24"/>
        </w:rPr>
        <w:t xml:space="preserve">la </w:t>
      </w:r>
      <w:r w:rsidR="00103785" w:rsidRPr="00AA7D9B">
        <w:rPr>
          <w:rFonts w:ascii="Arial" w:hAnsi="Arial"/>
          <w:b/>
          <w:bCs/>
          <w:sz w:val="24"/>
          <w:szCs w:val="24"/>
        </w:rPr>
        <w:t>previdenza di secondo pilastro</w:t>
      </w:r>
      <w:r w:rsidRPr="00AA7D9B">
        <w:rPr>
          <w:rFonts w:ascii="Arial" w:hAnsi="Arial"/>
          <w:b/>
          <w:bCs/>
          <w:sz w:val="24"/>
          <w:szCs w:val="24"/>
        </w:rPr>
        <w:t xml:space="preserve"> assume un ruolo </w:t>
      </w:r>
      <w:r w:rsidR="00072C4B" w:rsidRPr="00AA7D9B">
        <w:rPr>
          <w:rFonts w:ascii="Arial" w:hAnsi="Arial"/>
          <w:b/>
          <w:bCs/>
          <w:sz w:val="24"/>
          <w:szCs w:val="24"/>
        </w:rPr>
        <w:t xml:space="preserve">fortemente </w:t>
      </w:r>
      <w:r w:rsidRPr="00AA7D9B">
        <w:rPr>
          <w:rFonts w:ascii="Arial" w:hAnsi="Arial"/>
          <w:b/>
          <w:bCs/>
          <w:sz w:val="24"/>
          <w:szCs w:val="24"/>
        </w:rPr>
        <w:t>strategico</w:t>
      </w:r>
      <w:r w:rsidRPr="00EF44F5">
        <w:rPr>
          <w:rFonts w:ascii="Arial" w:hAnsi="Arial"/>
          <w:sz w:val="24"/>
          <w:szCs w:val="24"/>
        </w:rPr>
        <w:t>. Le analisi più recenti indicano</w:t>
      </w:r>
      <w:r>
        <w:rPr>
          <w:rFonts w:ascii="Arial" w:hAnsi="Arial"/>
          <w:sz w:val="24"/>
          <w:szCs w:val="24"/>
        </w:rPr>
        <w:t>,</w:t>
      </w:r>
      <w:r w:rsidRPr="00EF44F5">
        <w:rPr>
          <w:rFonts w:ascii="Arial" w:hAnsi="Arial"/>
          <w:sz w:val="24"/>
          <w:szCs w:val="24"/>
        </w:rPr>
        <w:t xml:space="preserve"> infatti</w:t>
      </w:r>
      <w:r>
        <w:rPr>
          <w:rFonts w:ascii="Arial" w:hAnsi="Arial"/>
          <w:sz w:val="24"/>
          <w:szCs w:val="24"/>
        </w:rPr>
        <w:t>,</w:t>
      </w:r>
      <w:r w:rsidRPr="00EF44F5">
        <w:rPr>
          <w:rFonts w:ascii="Arial" w:hAnsi="Arial"/>
          <w:sz w:val="24"/>
          <w:szCs w:val="24"/>
        </w:rPr>
        <w:t xml:space="preserve"> che le </w:t>
      </w:r>
      <w:r w:rsidRPr="00E30313">
        <w:rPr>
          <w:rFonts w:ascii="Arial" w:hAnsi="Arial"/>
          <w:b/>
          <w:bCs/>
          <w:sz w:val="24"/>
          <w:szCs w:val="24"/>
        </w:rPr>
        <w:t>future prestazioni del sistema pubblico potrebbero coprire solo il 50–60% dell’ultimo reddito percepito</w:t>
      </w:r>
      <w:r w:rsidRPr="00EF44F5">
        <w:rPr>
          <w:rFonts w:ascii="Arial" w:hAnsi="Arial"/>
          <w:sz w:val="24"/>
          <w:szCs w:val="24"/>
        </w:rPr>
        <w:t>, rendendo sempre più necessaria una forma integrativa</w:t>
      </w:r>
      <w:r w:rsidR="00072C4B">
        <w:rPr>
          <w:rFonts w:ascii="Arial" w:hAnsi="Arial"/>
          <w:sz w:val="24"/>
          <w:szCs w:val="24"/>
        </w:rPr>
        <w:t xml:space="preserve"> di pensione</w:t>
      </w:r>
      <w:r w:rsidRPr="00EF44F5">
        <w:rPr>
          <w:rFonts w:ascii="Arial" w:hAnsi="Arial"/>
          <w:sz w:val="24"/>
          <w:szCs w:val="24"/>
        </w:rPr>
        <w:t>.</w:t>
      </w:r>
      <w:r w:rsidR="00B44AAE">
        <w:rPr>
          <w:rFonts w:ascii="Arial" w:hAnsi="Arial"/>
          <w:sz w:val="24"/>
          <w:szCs w:val="24"/>
        </w:rPr>
        <w:t xml:space="preserve"> </w:t>
      </w:r>
    </w:p>
    <w:p w14:paraId="125ECB8F" w14:textId="77777777" w:rsidR="00B44AAE" w:rsidRPr="00EF44F5" w:rsidRDefault="00B44AAE" w:rsidP="00B44AAE">
      <w:pPr>
        <w:spacing w:after="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</w:p>
    <w:p w14:paraId="23D3E08A" w14:textId="1C03FA6C" w:rsidR="00EF44F5" w:rsidRDefault="009A6F4F" w:rsidP="00B44AAE">
      <w:pPr>
        <w:spacing w:after="8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  <w:r w:rsidRPr="00AA7D9B">
        <w:rPr>
          <w:rFonts w:ascii="Arial" w:hAnsi="Arial"/>
          <w:b/>
          <w:bCs/>
          <w:sz w:val="24"/>
          <w:szCs w:val="24"/>
        </w:rPr>
        <w:t xml:space="preserve">La </w:t>
      </w:r>
      <w:r w:rsidR="00EF44F5" w:rsidRPr="00AA7D9B">
        <w:rPr>
          <w:rFonts w:ascii="Arial" w:hAnsi="Arial"/>
          <w:b/>
          <w:bCs/>
          <w:sz w:val="24"/>
          <w:szCs w:val="24"/>
        </w:rPr>
        <w:t xml:space="preserve">previdenziale </w:t>
      </w:r>
      <w:r w:rsidR="002A7401" w:rsidRPr="00AA7D9B">
        <w:rPr>
          <w:rFonts w:ascii="Arial" w:hAnsi="Arial"/>
          <w:b/>
          <w:bCs/>
          <w:sz w:val="24"/>
          <w:szCs w:val="24"/>
        </w:rPr>
        <w:t>complementare rappresenta un</w:t>
      </w:r>
      <w:r w:rsidR="00945F20" w:rsidRPr="00AA7D9B">
        <w:rPr>
          <w:rFonts w:ascii="Arial" w:hAnsi="Arial"/>
          <w:b/>
          <w:bCs/>
          <w:sz w:val="24"/>
          <w:szCs w:val="24"/>
        </w:rPr>
        <w:t>a</w:t>
      </w:r>
      <w:r w:rsidR="002A7401" w:rsidRPr="00AA7D9B">
        <w:rPr>
          <w:rFonts w:ascii="Arial" w:hAnsi="Arial"/>
          <w:b/>
          <w:bCs/>
          <w:sz w:val="24"/>
          <w:szCs w:val="24"/>
        </w:rPr>
        <w:t xml:space="preserve"> forma di tutela </w:t>
      </w:r>
      <w:r w:rsidR="00EF44F5" w:rsidRPr="00AA7D9B">
        <w:rPr>
          <w:rFonts w:ascii="Arial" w:hAnsi="Arial"/>
          <w:b/>
          <w:bCs/>
          <w:sz w:val="24"/>
          <w:szCs w:val="24"/>
        </w:rPr>
        <w:t>volontaria e aggiuntiva rispetto al sistema pensionistico obbligatorio</w:t>
      </w:r>
      <w:r w:rsidR="00EF44F5" w:rsidRPr="00EF44F5">
        <w:rPr>
          <w:rFonts w:ascii="Arial" w:hAnsi="Arial"/>
          <w:sz w:val="24"/>
          <w:szCs w:val="24"/>
        </w:rPr>
        <w:t xml:space="preserve">. </w:t>
      </w:r>
      <w:r w:rsidR="0055138C">
        <w:rPr>
          <w:rFonts w:ascii="Arial" w:hAnsi="Arial"/>
          <w:sz w:val="24"/>
          <w:szCs w:val="24"/>
        </w:rPr>
        <w:t>Avvalendosi di tale strumento,</w:t>
      </w:r>
      <w:r w:rsidR="00EF44F5" w:rsidRPr="00EF44F5">
        <w:rPr>
          <w:rFonts w:ascii="Arial" w:hAnsi="Arial"/>
          <w:sz w:val="24"/>
          <w:szCs w:val="24"/>
        </w:rPr>
        <w:t xml:space="preserve"> </w:t>
      </w:r>
      <w:r w:rsidR="0055138C">
        <w:rPr>
          <w:rFonts w:ascii="Arial" w:hAnsi="Arial"/>
          <w:sz w:val="24"/>
          <w:szCs w:val="24"/>
        </w:rPr>
        <w:t xml:space="preserve">i </w:t>
      </w:r>
      <w:r w:rsidR="00EF44F5" w:rsidRPr="00EF44F5">
        <w:rPr>
          <w:rFonts w:ascii="Arial" w:hAnsi="Arial"/>
          <w:sz w:val="24"/>
          <w:szCs w:val="24"/>
        </w:rPr>
        <w:t xml:space="preserve">lavoratori </w:t>
      </w:r>
      <w:r w:rsidR="0055138C">
        <w:rPr>
          <w:rFonts w:ascii="Arial" w:hAnsi="Arial"/>
          <w:sz w:val="24"/>
          <w:szCs w:val="24"/>
        </w:rPr>
        <w:t>possono</w:t>
      </w:r>
      <w:r w:rsidR="00EF44F5" w:rsidRPr="00EF44F5">
        <w:rPr>
          <w:rFonts w:ascii="Arial" w:hAnsi="Arial"/>
          <w:sz w:val="24"/>
          <w:szCs w:val="24"/>
        </w:rPr>
        <w:t xml:space="preserve"> costruire, attraverso versamenti periodici e investimenti dedicati, un trattamento pensionistico integrativo volto a garantire un </w:t>
      </w:r>
      <w:r w:rsidR="00EF44F5" w:rsidRPr="00E30313">
        <w:rPr>
          <w:rFonts w:ascii="Arial" w:hAnsi="Arial"/>
          <w:b/>
          <w:bCs/>
          <w:sz w:val="24"/>
          <w:szCs w:val="24"/>
        </w:rPr>
        <w:t>f</w:t>
      </w:r>
      <w:r w:rsidR="00EF44F5" w:rsidRPr="00AA7D9B">
        <w:rPr>
          <w:rFonts w:ascii="Arial" w:hAnsi="Arial"/>
          <w:b/>
          <w:bCs/>
          <w:sz w:val="24"/>
          <w:szCs w:val="24"/>
        </w:rPr>
        <w:t>uturo più stabile e un tenore di vita adeguato al momento del pensionamento</w:t>
      </w:r>
      <w:r w:rsidR="00EF44F5" w:rsidRPr="00EF44F5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Per questo motivo, le modifiche intervenute </w:t>
      </w:r>
      <w:r w:rsidR="00B007D0"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z w:val="24"/>
          <w:szCs w:val="24"/>
        </w:rPr>
        <w:t xml:space="preserve"> la legge di bilancio 2026 hanno </w:t>
      </w:r>
      <w:r w:rsidR="00E30313">
        <w:rPr>
          <w:rFonts w:ascii="Arial" w:hAnsi="Arial"/>
          <w:sz w:val="24"/>
          <w:szCs w:val="24"/>
        </w:rPr>
        <w:t>l’</w:t>
      </w:r>
      <w:r>
        <w:rPr>
          <w:rFonts w:ascii="Arial" w:hAnsi="Arial"/>
          <w:sz w:val="24"/>
          <w:szCs w:val="24"/>
        </w:rPr>
        <w:t xml:space="preserve">obiettivo di innalzare sia il tasso dei lavoratori </w:t>
      </w:r>
      <w:r w:rsidR="00E30313">
        <w:rPr>
          <w:rFonts w:ascii="Arial" w:hAnsi="Arial"/>
          <w:sz w:val="24"/>
          <w:szCs w:val="24"/>
        </w:rPr>
        <w:t xml:space="preserve">iscritti </w:t>
      </w:r>
      <w:r>
        <w:rPr>
          <w:rFonts w:ascii="Arial" w:hAnsi="Arial"/>
          <w:sz w:val="24"/>
          <w:szCs w:val="24"/>
        </w:rPr>
        <w:t xml:space="preserve">alla previdenza complementare, sia l’ammontare delle risorse destinate alle prestazioni. In particolare, con effetto dal </w:t>
      </w:r>
      <w:r w:rsidRPr="00AA7D9B">
        <w:rPr>
          <w:rFonts w:ascii="Arial" w:hAnsi="Arial"/>
          <w:b/>
          <w:bCs/>
          <w:sz w:val="24"/>
          <w:szCs w:val="24"/>
        </w:rPr>
        <w:t>1° luglio 2026 è previsto che</w:t>
      </w:r>
      <w:r w:rsidR="009A15DB" w:rsidRPr="00AA7D9B">
        <w:rPr>
          <w:rFonts w:ascii="Arial" w:hAnsi="Arial"/>
          <w:b/>
          <w:bCs/>
          <w:sz w:val="24"/>
          <w:szCs w:val="24"/>
        </w:rPr>
        <w:t>,</w:t>
      </w:r>
      <w:r w:rsidRPr="00AA7D9B">
        <w:rPr>
          <w:rFonts w:ascii="Arial" w:hAnsi="Arial"/>
          <w:b/>
          <w:bCs/>
          <w:sz w:val="24"/>
          <w:szCs w:val="24"/>
        </w:rPr>
        <w:t xml:space="preserve"> se il neoassunto nel settore privato non esprime una scelta entro 60 giorni, il suo TFR venga destinato a un fondo pensione negoziale di categoria.</w:t>
      </w:r>
    </w:p>
    <w:p w14:paraId="64D1BFB6" w14:textId="77777777" w:rsidR="00531DFC" w:rsidRDefault="00531DFC" w:rsidP="00531DFC">
      <w:pPr>
        <w:spacing w:after="80" w:line="240" w:lineRule="auto"/>
        <w:ind w:right="-143"/>
        <w:jc w:val="both"/>
        <w:rPr>
          <w:rFonts w:ascii="Arial" w:hAnsi="Arial" w:cs="Arial"/>
          <w:b/>
          <w:bCs/>
          <w:sz w:val="24"/>
          <w:szCs w:val="24"/>
        </w:rPr>
      </w:pPr>
    </w:p>
    <w:p w14:paraId="3A0B8B0B" w14:textId="051896C3" w:rsidR="00531DFC" w:rsidRPr="0082473A" w:rsidRDefault="00807389" w:rsidP="00744C7A">
      <w:pPr>
        <w:spacing w:after="80" w:line="240" w:lineRule="auto"/>
        <w:ind w:right="-14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2473A">
        <w:rPr>
          <w:rFonts w:ascii="Arial" w:hAnsi="Arial" w:cs="Arial"/>
          <w:b/>
          <w:bCs/>
          <w:sz w:val="24"/>
          <w:szCs w:val="24"/>
          <w:u w:val="single"/>
        </w:rPr>
        <w:t>COME FUNZIONA UN FONDO PENSIONE COMPLEMENTARE</w:t>
      </w:r>
    </w:p>
    <w:p w14:paraId="2DE85B43" w14:textId="77777777" w:rsidR="00B44AAE" w:rsidRPr="00EF44F5" w:rsidRDefault="00B44AAE" w:rsidP="00B44AAE">
      <w:pPr>
        <w:spacing w:after="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</w:p>
    <w:p w14:paraId="359D0424" w14:textId="77777777" w:rsidR="008A76FF" w:rsidRDefault="00EF44F5" w:rsidP="00B62C28">
      <w:pPr>
        <w:spacing w:after="8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8A76FF">
        <w:rPr>
          <w:rFonts w:ascii="Arial" w:hAnsi="Arial" w:cs="Arial"/>
          <w:sz w:val="24"/>
          <w:szCs w:val="24"/>
        </w:rPr>
        <w:t xml:space="preserve">Elemento centrale della previdenza complementare è il meccanismo della </w:t>
      </w:r>
      <w:r w:rsidRPr="00AA7D9B">
        <w:rPr>
          <w:rFonts w:ascii="Arial" w:hAnsi="Arial" w:cs="Arial"/>
          <w:b/>
          <w:bCs/>
          <w:sz w:val="24"/>
          <w:szCs w:val="24"/>
        </w:rPr>
        <w:t>capitalizzazione individuale</w:t>
      </w:r>
      <w:r w:rsidRPr="008A76FF">
        <w:rPr>
          <w:rFonts w:ascii="Arial" w:hAnsi="Arial" w:cs="Arial"/>
          <w:sz w:val="24"/>
          <w:szCs w:val="24"/>
        </w:rPr>
        <w:t xml:space="preserve">, secondo cui </w:t>
      </w:r>
      <w:r w:rsidRPr="00E30313">
        <w:rPr>
          <w:rFonts w:ascii="Arial" w:hAnsi="Arial" w:cs="Arial"/>
          <w:b/>
          <w:bCs/>
          <w:sz w:val="24"/>
          <w:szCs w:val="24"/>
        </w:rPr>
        <w:t>i contributi versati dall’aderente vengono accantonati e investiti esclusivamente a suo beneficio</w:t>
      </w:r>
      <w:r w:rsidRPr="008A76FF">
        <w:rPr>
          <w:rFonts w:ascii="Arial" w:hAnsi="Arial" w:cs="Arial"/>
          <w:sz w:val="24"/>
          <w:szCs w:val="24"/>
        </w:rPr>
        <w:t>, contribuendo alla formazione di un montante utile a integrare la pensione pubblica</w:t>
      </w:r>
      <w:r w:rsidR="008A76FF">
        <w:rPr>
          <w:rFonts w:ascii="Arial" w:hAnsi="Arial" w:cs="Arial"/>
          <w:sz w:val="24"/>
          <w:szCs w:val="24"/>
        </w:rPr>
        <w:t>.</w:t>
      </w:r>
    </w:p>
    <w:p w14:paraId="75C320A9" w14:textId="0E6D2DDF" w:rsidR="001F7884" w:rsidRPr="001F7884" w:rsidRDefault="001F7884" w:rsidP="00531DFC">
      <w:pPr>
        <w:spacing w:after="8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59C8F41F" w14:textId="77777777" w:rsidR="001F7884" w:rsidRPr="001F7884" w:rsidRDefault="001F7884" w:rsidP="00AA7D9B">
      <w:pPr>
        <w:spacing w:after="8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1F7884">
        <w:rPr>
          <w:rFonts w:ascii="Arial" w:hAnsi="Arial" w:cs="Arial"/>
          <w:sz w:val="24"/>
          <w:szCs w:val="24"/>
        </w:rPr>
        <w:t>Il totale accantonato dipende:</w:t>
      </w:r>
    </w:p>
    <w:p w14:paraId="0D4A2580" w14:textId="716232A1" w:rsidR="001F7884" w:rsidRPr="001F7884" w:rsidRDefault="001F7884" w:rsidP="001F7884">
      <w:pPr>
        <w:pStyle w:val="Paragrafoelenco"/>
        <w:numPr>
          <w:ilvl w:val="0"/>
          <w:numId w:val="16"/>
        </w:numPr>
        <w:spacing w:after="8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1F7884">
        <w:rPr>
          <w:rFonts w:ascii="Arial" w:hAnsi="Arial" w:cs="Arial"/>
          <w:sz w:val="24"/>
          <w:szCs w:val="24"/>
        </w:rPr>
        <w:t>da quanti contributi si versano</w:t>
      </w:r>
      <w:r w:rsidR="00E30313">
        <w:rPr>
          <w:rFonts w:ascii="Arial" w:hAnsi="Arial" w:cs="Arial"/>
          <w:sz w:val="24"/>
          <w:szCs w:val="24"/>
        </w:rPr>
        <w:t>;</w:t>
      </w:r>
    </w:p>
    <w:p w14:paraId="708D69FA" w14:textId="4AFD35C7" w:rsidR="001F7884" w:rsidRPr="001F7884" w:rsidRDefault="001F7884" w:rsidP="001F7884">
      <w:pPr>
        <w:pStyle w:val="Paragrafoelenco"/>
        <w:numPr>
          <w:ilvl w:val="0"/>
          <w:numId w:val="16"/>
        </w:numPr>
        <w:spacing w:after="8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1F7884">
        <w:rPr>
          <w:rFonts w:ascii="Arial" w:hAnsi="Arial" w:cs="Arial"/>
          <w:sz w:val="24"/>
          <w:szCs w:val="24"/>
        </w:rPr>
        <w:t>da quanti anni si partecipa</w:t>
      </w:r>
      <w:r w:rsidR="00E30313">
        <w:rPr>
          <w:rFonts w:ascii="Arial" w:hAnsi="Arial" w:cs="Arial"/>
          <w:sz w:val="24"/>
          <w:szCs w:val="24"/>
        </w:rPr>
        <w:t>;</w:t>
      </w:r>
    </w:p>
    <w:p w14:paraId="7C278AC9" w14:textId="77777777" w:rsidR="001F7884" w:rsidRDefault="001F7884" w:rsidP="001F7884">
      <w:pPr>
        <w:pStyle w:val="Paragrafoelenco"/>
        <w:numPr>
          <w:ilvl w:val="0"/>
          <w:numId w:val="16"/>
        </w:numPr>
        <w:spacing w:after="8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1F7884">
        <w:rPr>
          <w:rFonts w:ascii="Arial" w:hAnsi="Arial" w:cs="Arial"/>
          <w:sz w:val="24"/>
          <w:szCs w:val="24"/>
        </w:rPr>
        <w:t>dai rendimenti ottenuti.</w:t>
      </w:r>
    </w:p>
    <w:p w14:paraId="08935340" w14:textId="77777777" w:rsidR="00B62C28" w:rsidRDefault="00B62C28" w:rsidP="00B62C28">
      <w:pPr>
        <w:pStyle w:val="Paragrafoelenco"/>
        <w:spacing w:after="8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45617FEE" w14:textId="5F84FF51" w:rsidR="00297AB0" w:rsidRPr="00297AB0" w:rsidRDefault="00297AB0" w:rsidP="00297AB0">
      <w:pPr>
        <w:spacing w:after="8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97AB0">
        <w:rPr>
          <w:rFonts w:ascii="Arial" w:hAnsi="Arial" w:cs="Arial"/>
          <w:b/>
          <w:bCs/>
          <w:sz w:val="24"/>
          <w:szCs w:val="24"/>
        </w:rPr>
        <w:t>I risultati</w:t>
      </w:r>
      <w:r w:rsidRPr="00297AB0">
        <w:rPr>
          <w:rFonts w:ascii="Arial" w:hAnsi="Arial" w:cs="Arial"/>
          <w:sz w:val="24"/>
          <w:szCs w:val="24"/>
        </w:rPr>
        <w:t xml:space="preserve"> derivanti dall’investimento dei contributi </w:t>
      </w:r>
      <w:r w:rsidRPr="00297AB0">
        <w:rPr>
          <w:rFonts w:ascii="Arial" w:hAnsi="Arial" w:cs="Arial"/>
          <w:b/>
          <w:bCs/>
          <w:sz w:val="24"/>
          <w:szCs w:val="24"/>
        </w:rPr>
        <w:t>sono tassati con aliquota del 20%</w:t>
      </w:r>
      <w:r w:rsidRPr="00297AB0">
        <w:rPr>
          <w:rFonts w:ascii="Arial" w:hAnsi="Arial" w:cs="Arial"/>
          <w:sz w:val="24"/>
          <w:szCs w:val="24"/>
        </w:rPr>
        <w:t xml:space="preserve">, aliquota più bassa di quella applicata </w:t>
      </w:r>
      <w:r w:rsidRPr="001B5C4B">
        <w:rPr>
          <w:rFonts w:ascii="Arial" w:hAnsi="Arial" w:cs="Arial"/>
          <w:sz w:val="24"/>
          <w:szCs w:val="24"/>
        </w:rPr>
        <w:t xml:space="preserve">agli investimenti finanziari </w:t>
      </w:r>
      <w:r w:rsidR="008A4563" w:rsidRPr="001B5C4B">
        <w:rPr>
          <w:rFonts w:ascii="Arial" w:hAnsi="Arial" w:cs="Arial"/>
          <w:sz w:val="24"/>
          <w:szCs w:val="24"/>
        </w:rPr>
        <w:t xml:space="preserve">(ad esempio azioni e ed obbligazioni corporate) </w:t>
      </w:r>
      <w:r w:rsidRPr="001B5C4B">
        <w:rPr>
          <w:rFonts w:ascii="Arial" w:hAnsi="Arial" w:cs="Arial"/>
          <w:sz w:val="24"/>
          <w:szCs w:val="24"/>
        </w:rPr>
        <w:t>pari al 26%</w:t>
      </w:r>
      <w:r w:rsidRPr="00297AB0">
        <w:rPr>
          <w:rFonts w:ascii="Arial" w:hAnsi="Arial" w:cs="Arial"/>
          <w:sz w:val="24"/>
          <w:szCs w:val="24"/>
        </w:rPr>
        <w:t>.</w:t>
      </w:r>
    </w:p>
    <w:p w14:paraId="025838AF" w14:textId="4441ED45" w:rsidR="001F7884" w:rsidRPr="0082473A" w:rsidRDefault="00807389" w:rsidP="00744C7A">
      <w:pPr>
        <w:spacing w:before="100" w:beforeAutospacing="1" w:after="100" w:afterAutospacing="1" w:line="30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2473A">
        <w:rPr>
          <w:rFonts w:ascii="Arial" w:hAnsi="Arial" w:cs="Arial"/>
          <w:b/>
          <w:bCs/>
          <w:sz w:val="24"/>
          <w:szCs w:val="24"/>
          <w:u w:val="single"/>
        </w:rPr>
        <w:t>QUALI VANTAGGI OFFRE?</w:t>
      </w:r>
    </w:p>
    <w:p w14:paraId="101D7221" w14:textId="77777777" w:rsidR="00531DFC" w:rsidRPr="00EF44F5" w:rsidRDefault="00531DFC" w:rsidP="007D14F7">
      <w:pPr>
        <w:pStyle w:val="Paragrafoelenco"/>
        <w:numPr>
          <w:ilvl w:val="0"/>
          <w:numId w:val="22"/>
        </w:num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 w:rsidRPr="007D14F7">
        <w:rPr>
          <w:rFonts w:ascii="Arial" w:hAnsi="Arial"/>
          <w:b/>
          <w:bCs/>
          <w:sz w:val="24"/>
          <w:szCs w:val="24"/>
        </w:rPr>
        <w:t>Flessibilità</w:t>
      </w:r>
      <w:r w:rsidRPr="00EF44F5">
        <w:rPr>
          <w:rFonts w:ascii="Arial" w:hAnsi="Arial"/>
          <w:sz w:val="24"/>
          <w:szCs w:val="24"/>
        </w:rPr>
        <w:t>, grazie alla possibilità di modulare i versamenti, sospenderli o trasferire la posizione individuale secondo le condizioni previste</w:t>
      </w:r>
      <w:r>
        <w:rPr>
          <w:rFonts w:ascii="Arial" w:hAnsi="Arial"/>
          <w:sz w:val="24"/>
          <w:szCs w:val="24"/>
        </w:rPr>
        <w:t>;</w:t>
      </w:r>
    </w:p>
    <w:p w14:paraId="54B02711" w14:textId="77777777" w:rsidR="00531DFC" w:rsidRPr="00EF44F5" w:rsidRDefault="00531DFC" w:rsidP="007D14F7">
      <w:pPr>
        <w:pStyle w:val="Paragrafoelenco"/>
        <w:numPr>
          <w:ilvl w:val="0"/>
          <w:numId w:val="22"/>
        </w:num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 w:rsidRPr="007D14F7">
        <w:rPr>
          <w:rFonts w:ascii="Arial" w:hAnsi="Arial"/>
          <w:b/>
          <w:bCs/>
          <w:sz w:val="24"/>
          <w:szCs w:val="24"/>
        </w:rPr>
        <w:lastRenderedPageBreak/>
        <w:t>Personalizzazione della strategia di investimento</w:t>
      </w:r>
      <w:r w:rsidRPr="00EF44F5">
        <w:rPr>
          <w:rFonts w:ascii="Arial" w:hAnsi="Arial"/>
          <w:sz w:val="24"/>
          <w:szCs w:val="24"/>
        </w:rPr>
        <w:t>, in base all’età, all’orizzonte temporale e alla propensione al rischio</w:t>
      </w:r>
      <w:r>
        <w:rPr>
          <w:rFonts w:ascii="Arial" w:hAnsi="Arial"/>
          <w:sz w:val="24"/>
          <w:szCs w:val="24"/>
        </w:rPr>
        <w:t>;</w:t>
      </w:r>
    </w:p>
    <w:p w14:paraId="04D7912B" w14:textId="77777777" w:rsidR="00531DFC" w:rsidRDefault="00531DFC" w:rsidP="007D14F7">
      <w:pPr>
        <w:pStyle w:val="Paragrafoelenco"/>
        <w:numPr>
          <w:ilvl w:val="0"/>
          <w:numId w:val="22"/>
        </w:num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 w:rsidRPr="007D14F7">
        <w:rPr>
          <w:rFonts w:ascii="Arial" w:hAnsi="Arial"/>
          <w:b/>
          <w:bCs/>
          <w:sz w:val="24"/>
          <w:szCs w:val="24"/>
        </w:rPr>
        <w:t>Integrazione con le politiche di welfare</w:t>
      </w:r>
      <w:r w:rsidRPr="00EF44F5">
        <w:rPr>
          <w:rFonts w:ascii="Arial" w:hAnsi="Arial"/>
          <w:sz w:val="24"/>
          <w:szCs w:val="24"/>
        </w:rPr>
        <w:t>, anche attraverso iniziative contrattuali o datoriali</w:t>
      </w:r>
      <w:r>
        <w:rPr>
          <w:rFonts w:ascii="Arial" w:hAnsi="Arial"/>
          <w:sz w:val="24"/>
          <w:szCs w:val="24"/>
        </w:rPr>
        <w:t>;</w:t>
      </w:r>
    </w:p>
    <w:p w14:paraId="5CE8D7DD" w14:textId="77777777" w:rsidR="00531DFC" w:rsidRPr="007C4F7C" w:rsidRDefault="00531DFC" w:rsidP="007D14F7">
      <w:pPr>
        <w:pStyle w:val="Paragrafoelenco"/>
        <w:numPr>
          <w:ilvl w:val="0"/>
          <w:numId w:val="22"/>
        </w:num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 w:rsidRPr="007D14F7">
        <w:rPr>
          <w:rFonts w:ascii="Arial" w:hAnsi="Arial"/>
          <w:b/>
          <w:bCs/>
          <w:sz w:val="24"/>
          <w:szCs w:val="24"/>
        </w:rPr>
        <w:t xml:space="preserve">Vantaggio fiscale immediato </w:t>
      </w:r>
      <w:r w:rsidRPr="0080406B">
        <w:rPr>
          <w:rFonts w:ascii="Arial" w:hAnsi="Arial"/>
          <w:b/>
          <w:bCs/>
          <w:sz w:val="24"/>
          <w:szCs w:val="24"/>
        </w:rPr>
        <w:t>grazie al regime di deducibilità dei contributi dal reddito IRPEF</w:t>
      </w:r>
      <w:r w:rsidRPr="007C4F7C">
        <w:rPr>
          <w:rFonts w:ascii="Arial" w:hAnsi="Arial"/>
          <w:sz w:val="24"/>
          <w:szCs w:val="24"/>
        </w:rPr>
        <w:t>, reso ancora più favorevole dalla normativa in vigore dal 2026 (</w:t>
      </w:r>
      <w:r w:rsidRPr="0080406B">
        <w:rPr>
          <w:rFonts w:ascii="Arial" w:hAnsi="Arial"/>
          <w:b/>
          <w:bCs/>
          <w:sz w:val="24"/>
          <w:szCs w:val="24"/>
        </w:rPr>
        <w:t>fino a un massimo di € 5.300 annui</w:t>
      </w:r>
      <w:r>
        <w:rPr>
          <w:rFonts w:ascii="Arial" w:hAnsi="Arial"/>
          <w:sz w:val="24"/>
          <w:szCs w:val="24"/>
        </w:rPr>
        <w:t xml:space="preserve">, mentre </w:t>
      </w:r>
      <w:r w:rsidRPr="007C4F7C">
        <w:rPr>
          <w:rFonts w:ascii="Arial" w:hAnsi="Arial"/>
          <w:sz w:val="24"/>
          <w:szCs w:val="24"/>
        </w:rPr>
        <w:t>al 2025: € 5.164,57)</w:t>
      </w:r>
      <w:r>
        <w:rPr>
          <w:rFonts w:ascii="Arial" w:hAnsi="Arial"/>
          <w:sz w:val="24"/>
          <w:szCs w:val="24"/>
        </w:rPr>
        <w:t>, nonché vantaggio fiscale sia nel caso di erogazione del capitale che nel caso di erogazione della rendita.</w:t>
      </w:r>
    </w:p>
    <w:p w14:paraId="51376D86" w14:textId="77777777" w:rsidR="004F25FB" w:rsidRDefault="001F7884" w:rsidP="004F25FB">
      <w:pPr>
        <w:spacing w:before="100" w:beforeAutospacing="1" w:after="100" w:afterAutospacing="1" w:line="300" w:lineRule="atLeast"/>
        <w:ind w:right="-143"/>
        <w:jc w:val="both"/>
        <w:rPr>
          <w:rFonts w:ascii="Arial" w:hAnsi="Arial" w:cs="Arial"/>
          <w:b/>
          <w:bCs/>
          <w:sz w:val="24"/>
          <w:szCs w:val="24"/>
        </w:rPr>
      </w:pPr>
      <w:r w:rsidRPr="00531DFC">
        <w:rPr>
          <w:rFonts w:ascii="Arial" w:hAnsi="Arial" w:cs="Arial"/>
          <w:b/>
          <w:bCs/>
          <w:sz w:val="24"/>
          <w:szCs w:val="24"/>
        </w:rPr>
        <w:t>Le prestazioni sono tassate con un’aliquota dal 15% al 9%, a seconda degli anni di partecipazione.</w:t>
      </w:r>
    </w:p>
    <w:p w14:paraId="30321A02" w14:textId="58D3D24B" w:rsidR="001F7884" w:rsidRPr="0082473A" w:rsidRDefault="00807389" w:rsidP="00744C7A">
      <w:pPr>
        <w:spacing w:before="100" w:beforeAutospacing="1" w:after="100" w:afterAutospacing="1" w:line="300" w:lineRule="atLeast"/>
        <w:ind w:right="-14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2473A">
        <w:rPr>
          <w:rFonts w:ascii="Arial" w:hAnsi="Arial" w:cs="Arial"/>
          <w:b/>
          <w:bCs/>
          <w:sz w:val="24"/>
          <w:szCs w:val="24"/>
          <w:u w:val="single"/>
        </w:rPr>
        <w:t>ANTICIPAZIONI E RISCATTI PRIMA DELLA PENSIONE</w:t>
      </w:r>
    </w:p>
    <w:p w14:paraId="5A0001EC" w14:textId="77777777" w:rsidR="00807389" w:rsidRDefault="00807389" w:rsidP="004F25FB">
      <w:p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 w:rsidRPr="00807389">
        <w:rPr>
          <w:rFonts w:ascii="Arial" w:hAnsi="Arial"/>
          <w:sz w:val="24"/>
          <w:szCs w:val="24"/>
        </w:rPr>
        <w:t xml:space="preserve">La normativa sulla previdenza complementare consente, al ricorrere di specifiche condizioni, di </w:t>
      </w:r>
      <w:r w:rsidRPr="00807389">
        <w:rPr>
          <w:rFonts w:ascii="Arial" w:hAnsi="Arial"/>
          <w:b/>
          <w:bCs/>
          <w:sz w:val="24"/>
          <w:szCs w:val="24"/>
        </w:rPr>
        <w:t>accedere in tutto o in parte alla posizione individuale maturata prima del raggiungimento dell’età pensionabile</w:t>
      </w:r>
      <w:r w:rsidRPr="00807389">
        <w:rPr>
          <w:rFonts w:ascii="Arial" w:hAnsi="Arial"/>
          <w:sz w:val="24"/>
          <w:szCs w:val="24"/>
        </w:rPr>
        <w:t>. In particolare, sono previste le seguenti possibilità:</w:t>
      </w:r>
    </w:p>
    <w:p w14:paraId="72701754" w14:textId="77777777" w:rsidR="00807389" w:rsidRPr="00807389" w:rsidRDefault="00807389" w:rsidP="00807389">
      <w:pPr>
        <w:spacing w:after="80" w:line="240" w:lineRule="auto"/>
        <w:ind w:left="-142" w:right="-143"/>
        <w:jc w:val="both"/>
        <w:rPr>
          <w:rFonts w:ascii="Arial" w:hAnsi="Arial"/>
          <w:sz w:val="24"/>
          <w:szCs w:val="24"/>
        </w:rPr>
      </w:pPr>
    </w:p>
    <w:p w14:paraId="4D56AF3F" w14:textId="77777777" w:rsidR="00807389" w:rsidRPr="00807389" w:rsidRDefault="00807389" w:rsidP="00807389">
      <w:pPr>
        <w:pStyle w:val="Paragrafoelenco"/>
        <w:numPr>
          <w:ilvl w:val="0"/>
          <w:numId w:val="27"/>
        </w:numPr>
        <w:spacing w:after="80" w:line="240" w:lineRule="auto"/>
        <w:ind w:right="-143"/>
        <w:jc w:val="both"/>
        <w:rPr>
          <w:rFonts w:ascii="Arial" w:hAnsi="Arial"/>
          <w:b/>
          <w:bCs/>
          <w:sz w:val="24"/>
          <w:szCs w:val="24"/>
        </w:rPr>
      </w:pPr>
      <w:r w:rsidRPr="00807389">
        <w:rPr>
          <w:rFonts w:ascii="Arial" w:hAnsi="Arial"/>
          <w:b/>
          <w:bCs/>
          <w:sz w:val="24"/>
          <w:szCs w:val="24"/>
        </w:rPr>
        <w:t>Anticipazione fino al 75%</w:t>
      </w:r>
      <w:r w:rsidRPr="00807389">
        <w:rPr>
          <w:rFonts w:ascii="Arial" w:hAnsi="Arial"/>
          <w:sz w:val="24"/>
          <w:szCs w:val="24"/>
        </w:rPr>
        <w:t xml:space="preserve"> della posizione individuale in caso di </w:t>
      </w:r>
      <w:r w:rsidRPr="00807389">
        <w:rPr>
          <w:rFonts w:ascii="Arial" w:hAnsi="Arial"/>
          <w:b/>
          <w:bCs/>
          <w:sz w:val="24"/>
          <w:szCs w:val="24"/>
        </w:rPr>
        <w:t>gravi motivi di salute dell’aderente;</w:t>
      </w:r>
    </w:p>
    <w:p w14:paraId="118DEF0A" w14:textId="77777777" w:rsidR="00807389" w:rsidRPr="00807389" w:rsidRDefault="00807389" w:rsidP="00807389">
      <w:pPr>
        <w:pStyle w:val="Paragrafoelenco"/>
        <w:numPr>
          <w:ilvl w:val="0"/>
          <w:numId w:val="27"/>
        </w:numPr>
        <w:spacing w:after="80" w:line="240" w:lineRule="auto"/>
        <w:ind w:right="-143"/>
        <w:jc w:val="both"/>
        <w:rPr>
          <w:rFonts w:ascii="Arial" w:hAnsi="Arial"/>
          <w:b/>
          <w:bCs/>
          <w:sz w:val="24"/>
          <w:szCs w:val="24"/>
        </w:rPr>
      </w:pPr>
      <w:r w:rsidRPr="00807389">
        <w:rPr>
          <w:rFonts w:ascii="Arial" w:hAnsi="Arial"/>
          <w:b/>
          <w:bCs/>
          <w:sz w:val="24"/>
          <w:szCs w:val="24"/>
        </w:rPr>
        <w:t>Anticipazione fino al 75% per l’acquisto o la ristrutturazione della prima casa, per sé o per i figli;</w:t>
      </w:r>
    </w:p>
    <w:p w14:paraId="0D17FC5F" w14:textId="77777777" w:rsidR="00807389" w:rsidRPr="00807389" w:rsidRDefault="00807389" w:rsidP="00807389">
      <w:pPr>
        <w:pStyle w:val="Paragrafoelenco"/>
        <w:numPr>
          <w:ilvl w:val="0"/>
          <w:numId w:val="27"/>
        </w:num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 w:rsidRPr="00807389">
        <w:rPr>
          <w:rFonts w:ascii="Arial" w:hAnsi="Arial"/>
          <w:b/>
          <w:bCs/>
          <w:sz w:val="24"/>
          <w:szCs w:val="24"/>
        </w:rPr>
        <w:t>Anticipazione fino al 30% per altre esigenze personali</w:t>
      </w:r>
      <w:r w:rsidRPr="00807389">
        <w:rPr>
          <w:rFonts w:ascii="Arial" w:hAnsi="Arial"/>
          <w:sz w:val="24"/>
          <w:szCs w:val="24"/>
        </w:rPr>
        <w:t xml:space="preserve">, decorsi </w:t>
      </w:r>
      <w:r w:rsidRPr="00807389">
        <w:rPr>
          <w:rFonts w:ascii="Arial" w:hAnsi="Arial"/>
          <w:b/>
          <w:bCs/>
          <w:sz w:val="24"/>
          <w:szCs w:val="24"/>
        </w:rPr>
        <w:t>almeno otto anni di partecipazione</w:t>
      </w:r>
      <w:r w:rsidRPr="00807389">
        <w:rPr>
          <w:rFonts w:ascii="Arial" w:hAnsi="Arial"/>
          <w:sz w:val="24"/>
          <w:szCs w:val="24"/>
        </w:rPr>
        <w:t xml:space="preserve"> alla forma pensionistica complementare;</w:t>
      </w:r>
    </w:p>
    <w:p w14:paraId="6C3982A7" w14:textId="77777777" w:rsidR="00807389" w:rsidRPr="00807389" w:rsidRDefault="00807389" w:rsidP="00807389">
      <w:pPr>
        <w:pStyle w:val="Paragrafoelenco"/>
        <w:numPr>
          <w:ilvl w:val="0"/>
          <w:numId w:val="27"/>
        </w:num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 w:rsidRPr="00807389">
        <w:rPr>
          <w:rFonts w:ascii="Arial" w:hAnsi="Arial"/>
          <w:b/>
          <w:bCs/>
          <w:sz w:val="24"/>
          <w:szCs w:val="24"/>
        </w:rPr>
        <w:t>Riscatto della posizione in caso di invalidità o di prolungata inattività lavorativa</w:t>
      </w:r>
      <w:r w:rsidRPr="00807389">
        <w:rPr>
          <w:rFonts w:ascii="Arial" w:hAnsi="Arial"/>
          <w:sz w:val="24"/>
          <w:szCs w:val="24"/>
        </w:rPr>
        <w:t>, secondo quanto previsto dalla normativa vigente.</w:t>
      </w:r>
    </w:p>
    <w:p w14:paraId="75563F12" w14:textId="77777777" w:rsidR="00807389" w:rsidRPr="00807389" w:rsidRDefault="00807389" w:rsidP="00807389">
      <w:pPr>
        <w:spacing w:before="100" w:beforeAutospacing="1" w:after="100" w:afterAutospacing="1" w:line="300" w:lineRule="atLeast"/>
        <w:ind w:right="-14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7389">
        <w:rPr>
          <w:rFonts w:ascii="Arial" w:eastAsia="Times New Roman" w:hAnsi="Arial" w:cs="Arial"/>
          <w:sz w:val="24"/>
          <w:szCs w:val="24"/>
          <w:lang w:eastAsia="it-IT"/>
        </w:rPr>
        <w:t xml:space="preserve">In caso di </w:t>
      </w:r>
      <w:r w:rsidRPr="0080738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decesso dell’aderente prima del pensionamento</w:t>
      </w:r>
      <w:r w:rsidRPr="00807389">
        <w:rPr>
          <w:rFonts w:ascii="Arial" w:eastAsia="Times New Roman" w:hAnsi="Arial" w:cs="Arial"/>
          <w:sz w:val="24"/>
          <w:szCs w:val="24"/>
          <w:lang w:eastAsia="it-IT"/>
        </w:rPr>
        <w:t xml:space="preserve">, la posizione individuale maturata viene </w:t>
      </w:r>
      <w:r w:rsidRPr="0080738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riscattata dai soggetti indicati dall’aderente</w:t>
      </w:r>
      <w:r w:rsidRPr="00807389">
        <w:rPr>
          <w:rFonts w:ascii="Arial" w:eastAsia="Times New Roman" w:hAnsi="Arial" w:cs="Arial"/>
          <w:sz w:val="24"/>
          <w:szCs w:val="24"/>
          <w:lang w:eastAsia="it-IT"/>
        </w:rPr>
        <w:t xml:space="preserve"> o, in mancanza, dagli eredi.</w:t>
      </w:r>
    </w:p>
    <w:p w14:paraId="6478C6CD" w14:textId="6267BAF5" w:rsidR="001F7884" w:rsidRPr="0082473A" w:rsidRDefault="00807389" w:rsidP="00744C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2473A">
        <w:rPr>
          <w:rFonts w:ascii="Arial" w:hAnsi="Arial" w:cs="Arial"/>
          <w:b/>
          <w:bCs/>
          <w:sz w:val="24"/>
          <w:szCs w:val="24"/>
          <w:u w:val="single"/>
        </w:rPr>
        <w:t>TRASFERIMENTO DA UN FONDO ALL’ALTRO</w:t>
      </w:r>
    </w:p>
    <w:p w14:paraId="48678B03" w14:textId="77777777" w:rsidR="007D14F7" w:rsidRPr="007D14F7" w:rsidRDefault="007D14F7" w:rsidP="007D14F7">
      <w:pPr>
        <w:pStyle w:val="Paragrafoelenc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6F91EC" w14:textId="405F5CDD" w:rsidR="001F7884" w:rsidRDefault="001F7884" w:rsidP="00297AB0">
      <w:pPr>
        <w:spacing w:after="0" w:line="240" w:lineRule="auto"/>
        <w:ind w:right="-285"/>
        <w:jc w:val="both"/>
        <w:rPr>
          <w:rFonts w:ascii="Arial" w:hAnsi="Arial" w:cs="Arial"/>
          <w:b/>
          <w:bCs/>
          <w:sz w:val="24"/>
          <w:szCs w:val="24"/>
        </w:rPr>
      </w:pPr>
      <w:r w:rsidRPr="00CD3171">
        <w:rPr>
          <w:rFonts w:ascii="Arial" w:hAnsi="Arial" w:cs="Arial"/>
          <w:sz w:val="24"/>
          <w:szCs w:val="24"/>
        </w:rPr>
        <w:t>Chi è</w:t>
      </w:r>
      <w:r w:rsidRPr="007D14F7">
        <w:rPr>
          <w:rFonts w:ascii="Arial" w:hAnsi="Arial" w:cs="Arial"/>
          <w:b/>
          <w:bCs/>
          <w:sz w:val="24"/>
          <w:szCs w:val="24"/>
        </w:rPr>
        <w:t xml:space="preserve"> iscritto da almeno 2 anni </w:t>
      </w:r>
      <w:r w:rsidRPr="00CD3171">
        <w:rPr>
          <w:rFonts w:ascii="Arial" w:hAnsi="Arial" w:cs="Arial"/>
          <w:sz w:val="24"/>
          <w:szCs w:val="24"/>
        </w:rPr>
        <w:t xml:space="preserve">a un fondo </w:t>
      </w:r>
      <w:r w:rsidRPr="004F25FB">
        <w:rPr>
          <w:rFonts w:ascii="Arial" w:hAnsi="Arial" w:cs="Arial"/>
          <w:b/>
          <w:bCs/>
          <w:sz w:val="24"/>
          <w:szCs w:val="24"/>
        </w:rPr>
        <w:t>può</w:t>
      </w:r>
      <w:r w:rsidRPr="007D14F7">
        <w:rPr>
          <w:rFonts w:ascii="Arial" w:hAnsi="Arial" w:cs="Arial"/>
          <w:b/>
          <w:bCs/>
          <w:sz w:val="24"/>
          <w:szCs w:val="24"/>
        </w:rPr>
        <w:t xml:space="preserve"> trasferire l’importo maturato in un altro fondo</w:t>
      </w:r>
      <w:r w:rsidR="00CD3171">
        <w:rPr>
          <w:rFonts w:ascii="Arial" w:hAnsi="Arial" w:cs="Arial"/>
          <w:b/>
          <w:bCs/>
          <w:sz w:val="24"/>
          <w:szCs w:val="24"/>
        </w:rPr>
        <w:t>.</w:t>
      </w:r>
    </w:p>
    <w:p w14:paraId="071F5579" w14:textId="77777777" w:rsidR="007D14F7" w:rsidRDefault="007D14F7" w:rsidP="007D14F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6599D7" w14:textId="794BF83B" w:rsidR="005843BA" w:rsidRPr="0082473A" w:rsidRDefault="00297AB0" w:rsidP="00744C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2473A">
        <w:rPr>
          <w:rFonts w:ascii="Arial" w:hAnsi="Arial" w:cs="Arial"/>
          <w:b/>
          <w:bCs/>
          <w:sz w:val="24"/>
          <w:szCs w:val="24"/>
          <w:u w:val="single"/>
        </w:rPr>
        <w:t xml:space="preserve">MODALITÀ DI EROGAZIONE </w:t>
      </w:r>
      <w:r w:rsidR="004F25FB" w:rsidRPr="0082473A">
        <w:rPr>
          <w:rFonts w:ascii="Arial" w:hAnsi="Arial" w:cs="Arial"/>
          <w:b/>
          <w:bCs/>
          <w:sz w:val="24"/>
          <w:szCs w:val="24"/>
          <w:u w:val="single"/>
        </w:rPr>
        <w:t>DELLA</w:t>
      </w:r>
      <w:r w:rsidRPr="0082473A">
        <w:rPr>
          <w:rFonts w:ascii="Arial" w:hAnsi="Arial" w:cs="Arial"/>
          <w:b/>
          <w:bCs/>
          <w:sz w:val="24"/>
          <w:szCs w:val="24"/>
          <w:u w:val="single"/>
        </w:rPr>
        <w:t xml:space="preserve"> PRESTAZIONE MATURATA AL PENSIONAMENTO</w:t>
      </w:r>
    </w:p>
    <w:p w14:paraId="06A96DC8" w14:textId="77777777" w:rsidR="005843BA" w:rsidRPr="005843BA" w:rsidRDefault="005843BA" w:rsidP="00B62C28">
      <w:pPr>
        <w:spacing w:before="100" w:beforeAutospacing="1" w:after="100" w:afterAutospacing="1" w:line="300" w:lineRule="atLeast"/>
        <w:ind w:right="-28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Quando si va in pensione, chi aderisce al fondo può scegliere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come ricevere i soldi accumulati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, in base all’importo totale della propria posizione.</w:t>
      </w:r>
    </w:p>
    <w:p w14:paraId="2CE54D87" w14:textId="24848AF6" w:rsidR="005843BA" w:rsidRPr="005843BA" w:rsidRDefault="005843BA" w:rsidP="00B62C28">
      <w:pPr>
        <w:numPr>
          <w:ilvl w:val="0"/>
          <w:numId w:val="3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 l’importo è basso (sotto i limiti di legge)</w:t>
      </w:r>
      <w:r w:rsidR="004F25F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4F25FB" w:rsidRPr="00DE0FB1">
        <w:rPr>
          <w:rFonts w:ascii="Arial" w:eastAsia="Times New Roman" w:hAnsi="Arial" w:cs="Arial"/>
          <w:sz w:val="24"/>
          <w:szCs w:val="24"/>
          <w:lang w:eastAsia="it-IT"/>
        </w:rPr>
        <w:t>è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 possibile ricevere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tutto subito in un’unica somma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 (100% in capitale).</w:t>
      </w:r>
    </w:p>
    <w:p w14:paraId="73DBEC89" w14:textId="2E5C4422" w:rsidR="005843BA" w:rsidRPr="005843BA" w:rsidRDefault="005843BA" w:rsidP="00B62C28">
      <w:pPr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 l’importo è più alto (sopra i limiti di legge)</w:t>
      </w:r>
      <w:r w:rsidR="00DE0FB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, </w:t>
      </w:r>
      <w:r w:rsidR="00DE0FB1" w:rsidRPr="00DE0FB1"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i può scegliere tra:</w:t>
      </w:r>
    </w:p>
    <w:p w14:paraId="570E4253" w14:textId="77777777" w:rsidR="005843BA" w:rsidRPr="005843BA" w:rsidRDefault="005843BA" w:rsidP="00B62C28">
      <w:pPr>
        <w:numPr>
          <w:ilvl w:val="1"/>
          <w:numId w:val="4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ricevere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tutto sotto forma di rendita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, cioè una somma periodica nel tempo, oppure</w:t>
      </w:r>
    </w:p>
    <w:p w14:paraId="59133C0C" w14:textId="77777777" w:rsidR="005843BA" w:rsidRPr="005843BA" w:rsidRDefault="005843BA" w:rsidP="00DE0FB1">
      <w:pPr>
        <w:numPr>
          <w:ilvl w:val="1"/>
          <w:numId w:val="4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ricevere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una parte subito e una parte nel tempo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</w:p>
    <w:p w14:paraId="51F386A7" w14:textId="77777777" w:rsidR="005843BA" w:rsidRPr="005843BA" w:rsidRDefault="005843BA" w:rsidP="00DE0FB1">
      <w:pPr>
        <w:numPr>
          <w:ilvl w:val="2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fino al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50% subito in capitale</w:t>
      </w:r>
    </w:p>
    <w:p w14:paraId="2A530561" w14:textId="750E7F8C" w:rsidR="004F25FB" w:rsidRDefault="005843BA" w:rsidP="00DE0FB1">
      <w:pPr>
        <w:numPr>
          <w:ilvl w:val="2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il restante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50% come rendita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01F64597" w14:textId="77777777" w:rsidR="00744C7A" w:rsidRPr="004F25FB" w:rsidRDefault="00744C7A" w:rsidP="00744C7A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56CCA12" w14:textId="357A27BB" w:rsidR="005843BA" w:rsidRPr="004F25FB" w:rsidRDefault="005843BA" w:rsidP="00DE0F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4F25F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Cosa cambia dal 1° luglio 2026</w:t>
      </w:r>
    </w:p>
    <w:p w14:paraId="2990D5F4" w14:textId="77777777" w:rsidR="005843BA" w:rsidRPr="005843BA" w:rsidRDefault="005843BA" w:rsidP="00DE0F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lastRenderedPageBreak/>
        <w:t xml:space="preserve">Dal 1° luglio 2026 sono previste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nuove possibilità più flessibili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346CBB12" w14:textId="77777777" w:rsidR="005843BA" w:rsidRPr="005843BA" w:rsidRDefault="005843BA" w:rsidP="00DE0FB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la quota che si può ricevere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subito in capitale sale fino al 60%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4A517BAD" w14:textId="77777777" w:rsidR="005843BA" w:rsidRPr="005843BA" w:rsidRDefault="005843BA" w:rsidP="00DE0FB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il fondo pensione potrà offrire nuove modalità di pagamento, ad esempio: </w:t>
      </w:r>
    </w:p>
    <w:p w14:paraId="33028965" w14:textId="77777777" w:rsidR="005843BA" w:rsidRPr="005843BA" w:rsidRDefault="005843BA" w:rsidP="00DE0FB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rendite per un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periodo di tempo definito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,</w:t>
      </w:r>
    </w:p>
    <w:p w14:paraId="035DB09A" w14:textId="77777777" w:rsidR="005843BA" w:rsidRPr="005843BA" w:rsidRDefault="005843BA" w:rsidP="00DE0FB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pagamenti con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prelievi scelti liberamente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,</w:t>
      </w:r>
    </w:p>
    <w:p w14:paraId="019F6373" w14:textId="77777777" w:rsidR="004F25FB" w:rsidRDefault="005843BA" w:rsidP="00DE0FB1">
      <w:pPr>
        <w:numPr>
          <w:ilvl w:val="1"/>
          <w:numId w:val="4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>oppure un’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erogazione frazionata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>, cioè il capitale distribuito in più rate.</w:t>
      </w:r>
    </w:p>
    <w:p w14:paraId="64CEC7D3" w14:textId="77777777" w:rsidR="00DE0FB1" w:rsidRDefault="00DE0FB1" w:rsidP="00DE0FB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7835D04" w14:textId="24C472E3" w:rsidR="005843BA" w:rsidRPr="0082473A" w:rsidRDefault="00DE0FB1" w:rsidP="00744C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82473A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COME VENGONO TASSATE LE PRESTAZIONI</w:t>
      </w:r>
    </w:p>
    <w:p w14:paraId="603C3DD4" w14:textId="77777777" w:rsidR="00DE0FB1" w:rsidRPr="004F25FB" w:rsidRDefault="00DE0FB1" w:rsidP="00DE0F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5943C97" w14:textId="77777777" w:rsidR="005843BA" w:rsidRPr="005843BA" w:rsidRDefault="005843BA" w:rsidP="00DE0FB1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Tassazione “standard”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br/>
        <w:t>Si applica a:</w:t>
      </w:r>
    </w:p>
    <w:p w14:paraId="02E55A68" w14:textId="77777777" w:rsidR="005843BA" w:rsidRPr="005843BA" w:rsidRDefault="005843BA" w:rsidP="00DE0FB1">
      <w:pPr>
        <w:numPr>
          <w:ilvl w:val="1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>capitale,</w:t>
      </w:r>
    </w:p>
    <w:p w14:paraId="33C9EA53" w14:textId="77777777" w:rsidR="005843BA" w:rsidRPr="005843BA" w:rsidRDefault="005843BA" w:rsidP="00DE0FB1">
      <w:pPr>
        <w:numPr>
          <w:ilvl w:val="1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>rendita vitalizia,</w:t>
      </w:r>
    </w:p>
    <w:p w14:paraId="642F41E0" w14:textId="77777777" w:rsidR="005843BA" w:rsidRPr="005843BA" w:rsidRDefault="005843BA" w:rsidP="00DE0FB1">
      <w:pPr>
        <w:numPr>
          <w:ilvl w:val="1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>rendita a durata definita,</w:t>
      </w:r>
    </w:p>
    <w:p w14:paraId="03FF2969" w14:textId="77777777" w:rsidR="005843BA" w:rsidRDefault="005843BA" w:rsidP="00DE0FB1">
      <w:pPr>
        <w:numPr>
          <w:ilvl w:val="1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>prelievi liberamente determinabili.</w:t>
      </w:r>
    </w:p>
    <w:p w14:paraId="39BA78F7" w14:textId="77777777" w:rsidR="00B62C28" w:rsidRPr="005843BA" w:rsidRDefault="00B62C28" w:rsidP="00B62C28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EE45E5C" w14:textId="0520236F" w:rsidR="005843BA" w:rsidRDefault="005843BA" w:rsidP="00DE0FB1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L’imposta è del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15%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, ma può </w:t>
      </w: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scendere fino al 9%</w:t>
      </w:r>
      <w:r w:rsidR="004F25F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,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t xml:space="preserve"> se si è iscritti al fondo da molti anni.</w:t>
      </w:r>
    </w:p>
    <w:p w14:paraId="6B57CE1C" w14:textId="77777777" w:rsidR="00DE0FB1" w:rsidRPr="005843BA" w:rsidRDefault="00DE0FB1" w:rsidP="00DE0FB1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A04D89F" w14:textId="77777777" w:rsidR="005843BA" w:rsidRPr="005843BA" w:rsidRDefault="005843BA" w:rsidP="00DE0FB1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843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Tassazione diversa per l’erogazione frazionata del montante</w:t>
      </w:r>
      <w:r w:rsidRPr="005843BA">
        <w:rPr>
          <w:rFonts w:ascii="Arial" w:eastAsia="Times New Roman" w:hAnsi="Arial" w:cs="Arial"/>
          <w:sz w:val="24"/>
          <w:szCs w:val="24"/>
          <w:lang w:eastAsia="it-IT"/>
        </w:rPr>
        <w:br/>
        <w:t>In questo caso l’imposta è più alta:</w:t>
      </w:r>
    </w:p>
    <w:p w14:paraId="36F72680" w14:textId="77777777" w:rsidR="005843BA" w:rsidRPr="004F25FB" w:rsidRDefault="005843BA" w:rsidP="00DE0FB1">
      <w:pPr>
        <w:pStyle w:val="Paragrafoelenco"/>
        <w:numPr>
          <w:ilvl w:val="0"/>
          <w:numId w:val="44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  <w:lang w:eastAsia="it-IT"/>
        </w:rPr>
      </w:pPr>
      <w:r w:rsidRPr="004F25F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20%</w:t>
      </w:r>
      <w:r w:rsidRPr="004F25FB">
        <w:rPr>
          <w:rFonts w:ascii="Arial" w:eastAsia="Times New Roman" w:hAnsi="Arial" w:cs="Arial"/>
          <w:sz w:val="24"/>
          <w:szCs w:val="24"/>
          <w:lang w:eastAsia="it-IT"/>
        </w:rPr>
        <w:t xml:space="preserve">, riducibile fino al </w:t>
      </w:r>
      <w:r w:rsidRPr="004F25F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15%</w:t>
      </w:r>
      <w:r w:rsidRPr="004F25FB">
        <w:rPr>
          <w:rFonts w:ascii="Arial" w:eastAsia="Times New Roman" w:hAnsi="Arial" w:cs="Arial"/>
          <w:sz w:val="24"/>
          <w:szCs w:val="24"/>
          <w:lang w:eastAsia="it-IT"/>
        </w:rPr>
        <w:t xml:space="preserve"> in base all’anzianità di partecipazione.</w:t>
      </w:r>
    </w:p>
    <w:p w14:paraId="20E73A51" w14:textId="77777777" w:rsidR="005843BA" w:rsidRDefault="005843BA" w:rsidP="007D14F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F9BEFC" w14:textId="7020712E" w:rsidR="00744C7A" w:rsidRPr="0082473A" w:rsidRDefault="00807389" w:rsidP="00744C7A">
      <w:pPr>
        <w:spacing w:after="0" w:line="240" w:lineRule="auto"/>
        <w:ind w:right="-143"/>
        <w:jc w:val="center"/>
        <w:rPr>
          <w:rFonts w:ascii="Arial" w:hAnsi="Arial"/>
          <w:sz w:val="24"/>
          <w:szCs w:val="24"/>
          <w:u w:val="single"/>
        </w:rPr>
      </w:pPr>
      <w:r w:rsidRPr="0082473A">
        <w:rPr>
          <w:rFonts w:ascii="Arial" w:hAnsi="Arial"/>
          <w:b/>
          <w:bCs/>
          <w:sz w:val="24"/>
          <w:szCs w:val="24"/>
          <w:u w:val="single"/>
        </w:rPr>
        <w:t>FONDOSANITÀ</w:t>
      </w:r>
      <w:r w:rsidR="007D14F7" w:rsidRPr="0082473A"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r w:rsidR="007D14F7" w:rsidRPr="0082473A">
        <w:rPr>
          <w:rFonts w:ascii="Arial" w:hAnsi="Arial"/>
          <w:sz w:val="24"/>
          <w:szCs w:val="24"/>
          <w:u w:val="single"/>
        </w:rPr>
        <w:t xml:space="preserve"> </w:t>
      </w:r>
    </w:p>
    <w:p w14:paraId="43C7AC78" w14:textId="5C932BE9" w:rsidR="0055138C" w:rsidRPr="004F25FB" w:rsidRDefault="007D14F7" w:rsidP="00744C7A">
      <w:pPr>
        <w:spacing w:after="0" w:line="240" w:lineRule="auto"/>
        <w:ind w:right="-143"/>
        <w:jc w:val="center"/>
        <w:rPr>
          <w:rFonts w:ascii="Arial" w:hAnsi="Arial"/>
          <w:sz w:val="24"/>
          <w:szCs w:val="24"/>
        </w:rPr>
      </w:pPr>
      <w:r w:rsidRPr="004F25FB">
        <w:rPr>
          <w:rFonts w:ascii="Arial" w:hAnsi="Arial"/>
          <w:sz w:val="24"/>
          <w:szCs w:val="24"/>
        </w:rPr>
        <w:t>fondo pensione complementare per gli esercenti le professioni sanitarie.</w:t>
      </w:r>
    </w:p>
    <w:p w14:paraId="39E4BD7F" w14:textId="77777777" w:rsidR="007D14F7" w:rsidRPr="007D14F7" w:rsidRDefault="007D14F7" w:rsidP="007D14F7">
      <w:pPr>
        <w:pStyle w:val="Paragrafoelenco"/>
        <w:spacing w:after="0" w:line="240" w:lineRule="auto"/>
        <w:ind w:right="-143"/>
        <w:jc w:val="both"/>
        <w:rPr>
          <w:rFonts w:ascii="Arial" w:hAnsi="Arial"/>
          <w:sz w:val="24"/>
          <w:szCs w:val="24"/>
        </w:rPr>
      </w:pPr>
    </w:p>
    <w:p w14:paraId="45D680A9" w14:textId="33A26A83" w:rsidR="00B44AAE" w:rsidRDefault="00B44AAE" w:rsidP="00B62C28">
      <w:p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È bene ricordare che n</w:t>
      </w:r>
      <w:r w:rsidRPr="00B44AAE">
        <w:rPr>
          <w:rFonts w:ascii="Arial" w:hAnsi="Arial"/>
          <w:sz w:val="24"/>
          <w:szCs w:val="24"/>
        </w:rPr>
        <w:t>el panorama della previdenza integrativa è</w:t>
      </w:r>
      <w:r>
        <w:rPr>
          <w:rFonts w:ascii="Arial" w:hAnsi="Arial"/>
          <w:sz w:val="24"/>
          <w:szCs w:val="24"/>
        </w:rPr>
        <w:t xml:space="preserve"> operativo</w:t>
      </w:r>
      <w:r w:rsidRPr="00B44AAE">
        <w:rPr>
          <w:rFonts w:ascii="Arial" w:hAnsi="Arial"/>
          <w:sz w:val="24"/>
          <w:szCs w:val="24"/>
        </w:rPr>
        <w:t xml:space="preserve"> </w:t>
      </w:r>
      <w:r w:rsidRPr="00B44AAE">
        <w:rPr>
          <w:rFonts w:ascii="Arial" w:hAnsi="Arial"/>
          <w:b/>
          <w:bCs/>
          <w:sz w:val="24"/>
          <w:szCs w:val="24"/>
        </w:rPr>
        <w:t>Fondo</w:t>
      </w:r>
      <w:r>
        <w:rPr>
          <w:rFonts w:ascii="Arial" w:hAnsi="Arial"/>
          <w:b/>
          <w:bCs/>
          <w:sz w:val="24"/>
          <w:szCs w:val="24"/>
        </w:rPr>
        <w:t>S</w:t>
      </w:r>
      <w:r w:rsidRPr="00B44AAE">
        <w:rPr>
          <w:rFonts w:ascii="Arial" w:hAnsi="Arial"/>
          <w:b/>
          <w:bCs/>
          <w:sz w:val="24"/>
          <w:szCs w:val="24"/>
        </w:rPr>
        <w:t>anità</w:t>
      </w:r>
      <w:r w:rsidRPr="00B44AAE">
        <w:rPr>
          <w:rFonts w:ascii="Arial" w:hAnsi="Arial"/>
          <w:sz w:val="24"/>
          <w:szCs w:val="24"/>
        </w:rPr>
        <w:t>,</w:t>
      </w:r>
      <w:r w:rsidRPr="00531DFC">
        <w:rPr>
          <w:rFonts w:ascii="Arial" w:hAnsi="Arial"/>
          <w:b/>
          <w:bCs/>
          <w:sz w:val="24"/>
          <w:szCs w:val="24"/>
        </w:rPr>
        <w:t xml:space="preserve"> fondo negoziale dedicato ai professionisti dell’area sanitaria</w:t>
      </w:r>
      <w:r>
        <w:rPr>
          <w:rFonts w:ascii="Arial" w:hAnsi="Arial"/>
          <w:sz w:val="24"/>
          <w:szCs w:val="24"/>
        </w:rPr>
        <w:t>, di cui l’</w:t>
      </w:r>
      <w:r w:rsidRPr="00531DFC">
        <w:rPr>
          <w:rFonts w:ascii="Arial" w:hAnsi="Arial"/>
          <w:b/>
          <w:bCs/>
          <w:sz w:val="24"/>
          <w:szCs w:val="24"/>
        </w:rPr>
        <w:t>E</w:t>
      </w:r>
      <w:r w:rsidR="00E805A2">
        <w:rPr>
          <w:rFonts w:ascii="Arial" w:hAnsi="Arial"/>
          <w:b/>
          <w:bCs/>
          <w:sz w:val="24"/>
          <w:szCs w:val="24"/>
        </w:rPr>
        <w:t>npaf</w:t>
      </w:r>
      <w:r w:rsidRPr="00531DFC">
        <w:rPr>
          <w:rFonts w:ascii="Arial" w:hAnsi="Arial"/>
          <w:b/>
          <w:bCs/>
          <w:sz w:val="24"/>
          <w:szCs w:val="24"/>
        </w:rPr>
        <w:t xml:space="preserve"> è fonte istitutiva</w:t>
      </w:r>
      <w:r w:rsidR="00B007D0" w:rsidRPr="00531DFC">
        <w:rPr>
          <w:rFonts w:ascii="Arial" w:hAnsi="Arial"/>
          <w:b/>
          <w:bCs/>
          <w:sz w:val="24"/>
          <w:szCs w:val="24"/>
        </w:rPr>
        <w:t xml:space="preserve"> </w:t>
      </w:r>
      <w:r w:rsidR="00B007D0">
        <w:rPr>
          <w:rFonts w:ascii="Arial" w:hAnsi="Arial"/>
          <w:sz w:val="24"/>
          <w:szCs w:val="24"/>
        </w:rPr>
        <w:t>unitamente all’E</w:t>
      </w:r>
      <w:r w:rsidR="00E805A2">
        <w:rPr>
          <w:rFonts w:ascii="Arial" w:hAnsi="Arial"/>
          <w:sz w:val="24"/>
          <w:szCs w:val="24"/>
        </w:rPr>
        <w:t>npam</w:t>
      </w:r>
      <w:r>
        <w:rPr>
          <w:rFonts w:ascii="Arial" w:hAnsi="Arial"/>
          <w:sz w:val="24"/>
          <w:szCs w:val="24"/>
        </w:rPr>
        <w:t xml:space="preserve">. </w:t>
      </w:r>
      <w:r w:rsidRPr="007D14F7">
        <w:rPr>
          <w:rFonts w:ascii="Arial" w:hAnsi="Arial"/>
          <w:b/>
          <w:bCs/>
          <w:sz w:val="24"/>
          <w:szCs w:val="24"/>
        </w:rPr>
        <w:t>Gli iscritti</w:t>
      </w:r>
      <w:r w:rsidR="0055138C">
        <w:rPr>
          <w:rFonts w:ascii="Arial" w:hAnsi="Arial"/>
          <w:sz w:val="24"/>
          <w:szCs w:val="24"/>
        </w:rPr>
        <w:t xml:space="preserve"> </w:t>
      </w:r>
      <w:r w:rsidRPr="00B44AAE">
        <w:rPr>
          <w:rFonts w:ascii="Arial" w:hAnsi="Arial"/>
          <w:sz w:val="24"/>
          <w:szCs w:val="24"/>
        </w:rPr>
        <w:t>possono aderirvi su base volontaria e, in caso di rapporto di lavoro subordinato,</w:t>
      </w:r>
      <w:r w:rsidRPr="007D14F7">
        <w:rPr>
          <w:rFonts w:ascii="Arial" w:hAnsi="Arial"/>
          <w:b/>
          <w:bCs/>
          <w:sz w:val="24"/>
          <w:szCs w:val="24"/>
        </w:rPr>
        <w:t xml:space="preserve"> hanno la possibilità di destinare al fondo anche il Trattamento di Fine Rapporto (TFR) maturando</w:t>
      </w:r>
      <w:r w:rsidR="00B007D0" w:rsidRPr="007D14F7">
        <w:rPr>
          <w:rFonts w:ascii="Arial" w:hAnsi="Arial"/>
          <w:b/>
          <w:bCs/>
          <w:sz w:val="24"/>
          <w:szCs w:val="24"/>
        </w:rPr>
        <w:t>, oltre alla contribuzione datoriale prevista dal CCNL e alla contribuzione personale.</w:t>
      </w:r>
      <w:r w:rsidRPr="00B44AAE">
        <w:rPr>
          <w:rFonts w:ascii="Arial" w:hAnsi="Arial"/>
          <w:sz w:val="24"/>
          <w:szCs w:val="24"/>
        </w:rPr>
        <w:t xml:space="preserve"> Il conferimento del TFR</w:t>
      </w:r>
      <w:r w:rsidR="00B007D0">
        <w:rPr>
          <w:rFonts w:ascii="Arial" w:hAnsi="Arial"/>
          <w:sz w:val="24"/>
          <w:szCs w:val="24"/>
        </w:rPr>
        <w:t xml:space="preserve">, unitamente al contributo datoriale e a quello personale, </w:t>
      </w:r>
      <w:r w:rsidRPr="00B44AAE">
        <w:rPr>
          <w:rFonts w:ascii="Arial" w:hAnsi="Arial"/>
          <w:sz w:val="24"/>
          <w:szCs w:val="24"/>
        </w:rPr>
        <w:t xml:space="preserve">consente di incrementare in maniera significativa il montante individuale, grazie all’accumulo nel lungo periodo e ai rendimenti degli investimenti. Tale scelta risulta spesso vantaggiosa, poiché la rivalutazione del TFR lasciato in azienda può risultare meno favorevole rispetto alla potenziale crescita degli strumenti di previdenza complementare. </w:t>
      </w:r>
      <w:r w:rsidRPr="00531DFC">
        <w:rPr>
          <w:rFonts w:ascii="Arial" w:hAnsi="Arial"/>
          <w:b/>
          <w:bCs/>
          <w:sz w:val="24"/>
          <w:szCs w:val="24"/>
        </w:rPr>
        <w:t xml:space="preserve">L’adesione a </w:t>
      </w:r>
      <w:r w:rsidR="00F850DB" w:rsidRPr="00531DFC">
        <w:rPr>
          <w:rFonts w:ascii="Arial" w:hAnsi="Arial"/>
          <w:b/>
          <w:bCs/>
          <w:sz w:val="24"/>
          <w:szCs w:val="24"/>
        </w:rPr>
        <w:t>Fondo</w:t>
      </w:r>
      <w:r w:rsidR="007D14F7">
        <w:rPr>
          <w:rFonts w:ascii="Arial" w:hAnsi="Arial"/>
          <w:b/>
          <w:bCs/>
          <w:sz w:val="24"/>
          <w:szCs w:val="24"/>
        </w:rPr>
        <w:t>S</w:t>
      </w:r>
      <w:r w:rsidR="00F850DB" w:rsidRPr="00531DFC">
        <w:rPr>
          <w:rFonts w:ascii="Arial" w:hAnsi="Arial"/>
          <w:b/>
          <w:bCs/>
          <w:sz w:val="24"/>
          <w:szCs w:val="24"/>
        </w:rPr>
        <w:t>anità</w:t>
      </w:r>
      <w:r w:rsidRPr="00531DFC">
        <w:rPr>
          <w:rFonts w:ascii="Arial" w:hAnsi="Arial"/>
          <w:b/>
          <w:bCs/>
          <w:sz w:val="24"/>
          <w:szCs w:val="24"/>
        </w:rPr>
        <w:t xml:space="preserve">, con la facoltà di versare anche il TFR, </w:t>
      </w:r>
      <w:r w:rsidR="00B007D0" w:rsidRPr="00531DFC">
        <w:rPr>
          <w:rFonts w:ascii="Arial" w:hAnsi="Arial"/>
          <w:b/>
          <w:bCs/>
          <w:sz w:val="24"/>
          <w:szCs w:val="24"/>
        </w:rPr>
        <w:t>rappresenta,</w:t>
      </w:r>
      <w:r w:rsidR="00740BC4" w:rsidRPr="00531DFC">
        <w:rPr>
          <w:rFonts w:ascii="Arial" w:hAnsi="Arial"/>
          <w:b/>
          <w:bCs/>
          <w:sz w:val="24"/>
          <w:szCs w:val="24"/>
        </w:rPr>
        <w:t xml:space="preserve"> quindi, per la nostra categoria professionale </w:t>
      </w:r>
      <w:r w:rsidRPr="00531DFC">
        <w:rPr>
          <w:rFonts w:ascii="Arial" w:hAnsi="Arial"/>
          <w:b/>
          <w:bCs/>
          <w:sz w:val="24"/>
          <w:szCs w:val="24"/>
        </w:rPr>
        <w:t>un’importante opportunità per rafforzare ulteriormente la tutela previdenziale, in un’ottica di pianificazione consapevole e orientata al futuro.</w:t>
      </w:r>
      <w:r w:rsidR="00B007D0">
        <w:rPr>
          <w:rFonts w:ascii="Arial" w:hAnsi="Arial"/>
          <w:sz w:val="24"/>
          <w:szCs w:val="24"/>
        </w:rPr>
        <w:t xml:space="preserve"> </w:t>
      </w:r>
    </w:p>
    <w:p w14:paraId="6591A097" w14:textId="77777777" w:rsidR="00384A46" w:rsidRDefault="00384A46" w:rsidP="007D14F7">
      <w:pPr>
        <w:spacing w:after="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</w:p>
    <w:p w14:paraId="3EC5C2BA" w14:textId="6A4AF8F1" w:rsidR="00384A46" w:rsidRPr="00A677F8" w:rsidRDefault="00384A46" w:rsidP="00A677F8">
      <w:pPr>
        <w:spacing w:after="8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  <w:r w:rsidRPr="00531DFC">
        <w:rPr>
          <w:rFonts w:ascii="Arial" w:hAnsi="Arial"/>
          <w:b/>
          <w:bCs/>
          <w:sz w:val="24"/>
          <w:szCs w:val="24"/>
        </w:rPr>
        <w:t>I vantaggi di aderire ad un fondo “chiuso”, come Fondo</w:t>
      </w:r>
      <w:r w:rsidR="007D14F7">
        <w:rPr>
          <w:rFonts w:ascii="Arial" w:hAnsi="Arial"/>
          <w:b/>
          <w:bCs/>
          <w:sz w:val="24"/>
          <w:szCs w:val="24"/>
        </w:rPr>
        <w:t>S</w:t>
      </w:r>
      <w:r w:rsidRPr="00531DFC">
        <w:rPr>
          <w:rFonts w:ascii="Arial" w:hAnsi="Arial"/>
          <w:b/>
          <w:bCs/>
          <w:sz w:val="24"/>
          <w:szCs w:val="24"/>
        </w:rPr>
        <w:t>anità</w:t>
      </w:r>
      <w:r w:rsidRPr="00A677F8">
        <w:rPr>
          <w:rFonts w:ascii="Arial" w:hAnsi="Arial"/>
          <w:sz w:val="24"/>
          <w:szCs w:val="24"/>
        </w:rPr>
        <w:t xml:space="preserve"> rispetto ad un fondo aperto di derivazione bancario o </w:t>
      </w:r>
      <w:r w:rsidR="00F850DB" w:rsidRPr="00A677F8">
        <w:rPr>
          <w:rFonts w:ascii="Arial" w:hAnsi="Arial"/>
          <w:sz w:val="24"/>
          <w:szCs w:val="24"/>
        </w:rPr>
        <w:t>assicurativa, sono</w:t>
      </w:r>
      <w:r w:rsidRPr="00A677F8">
        <w:rPr>
          <w:rFonts w:ascii="Arial" w:hAnsi="Arial"/>
          <w:sz w:val="24"/>
          <w:szCs w:val="24"/>
        </w:rPr>
        <w:t xml:space="preserve"> così riepilogabili:</w:t>
      </w:r>
    </w:p>
    <w:p w14:paraId="43CC3C07" w14:textId="77777777" w:rsidR="00384A46" w:rsidRPr="00531DFC" w:rsidRDefault="00384A46" w:rsidP="00A677F8">
      <w:pPr>
        <w:pStyle w:val="Paragrafoelenco"/>
        <w:numPr>
          <w:ilvl w:val="0"/>
          <w:numId w:val="12"/>
        </w:numPr>
        <w:spacing w:after="80" w:line="240" w:lineRule="auto"/>
        <w:ind w:left="709" w:right="-143" w:hanging="567"/>
        <w:jc w:val="both"/>
        <w:rPr>
          <w:rFonts w:ascii="Arial" w:hAnsi="Arial"/>
          <w:b/>
          <w:bCs/>
          <w:sz w:val="24"/>
          <w:szCs w:val="24"/>
        </w:rPr>
      </w:pPr>
      <w:r w:rsidRPr="00531DFC">
        <w:rPr>
          <w:rFonts w:ascii="Arial" w:hAnsi="Arial"/>
          <w:b/>
          <w:bCs/>
          <w:sz w:val="24"/>
          <w:szCs w:val="24"/>
        </w:rPr>
        <w:t>nessuna spesa per pubblicità né commissioni da corrispondere a promotori o agenti;</w:t>
      </w:r>
    </w:p>
    <w:p w14:paraId="0D27A5F3" w14:textId="77777777" w:rsidR="00384A46" w:rsidRPr="00A677F8" w:rsidRDefault="00384A46" w:rsidP="00A677F8">
      <w:pPr>
        <w:pStyle w:val="Paragrafoelenco"/>
        <w:numPr>
          <w:ilvl w:val="0"/>
          <w:numId w:val="12"/>
        </w:numPr>
        <w:spacing w:after="80" w:line="240" w:lineRule="auto"/>
        <w:ind w:left="709" w:right="-143" w:hanging="567"/>
        <w:jc w:val="both"/>
        <w:rPr>
          <w:rFonts w:ascii="Arial" w:hAnsi="Arial"/>
          <w:sz w:val="24"/>
          <w:szCs w:val="24"/>
        </w:rPr>
      </w:pPr>
      <w:r w:rsidRPr="00531DFC">
        <w:rPr>
          <w:rFonts w:ascii="Arial" w:hAnsi="Arial"/>
          <w:b/>
          <w:bCs/>
          <w:sz w:val="24"/>
          <w:szCs w:val="24"/>
        </w:rPr>
        <w:t>commissioni di gestione nettamente inferiori a quelle dei Fondi Aperti</w:t>
      </w:r>
      <w:r w:rsidRPr="00A677F8">
        <w:rPr>
          <w:rFonts w:ascii="Arial" w:hAnsi="Arial"/>
          <w:sz w:val="24"/>
          <w:szCs w:val="24"/>
        </w:rPr>
        <w:t>;</w:t>
      </w:r>
    </w:p>
    <w:p w14:paraId="451600BE" w14:textId="77777777" w:rsidR="00384A46" w:rsidRPr="00A677F8" w:rsidRDefault="00384A46" w:rsidP="00A677F8">
      <w:pPr>
        <w:pStyle w:val="Paragrafoelenco"/>
        <w:numPr>
          <w:ilvl w:val="0"/>
          <w:numId w:val="12"/>
        </w:numPr>
        <w:spacing w:after="80" w:line="240" w:lineRule="auto"/>
        <w:ind w:left="709" w:right="-143" w:hanging="567"/>
        <w:jc w:val="both"/>
        <w:rPr>
          <w:rFonts w:ascii="Arial" w:hAnsi="Arial"/>
          <w:sz w:val="24"/>
          <w:szCs w:val="24"/>
        </w:rPr>
      </w:pPr>
      <w:r w:rsidRPr="00531DFC">
        <w:rPr>
          <w:rFonts w:ascii="Arial" w:hAnsi="Arial"/>
          <w:b/>
          <w:bCs/>
          <w:sz w:val="24"/>
          <w:szCs w:val="24"/>
        </w:rPr>
        <w:t>possibilità di scelta tra più comparti di rischio</w:t>
      </w:r>
      <w:r w:rsidRPr="00A677F8">
        <w:rPr>
          <w:rFonts w:ascii="Arial" w:hAnsi="Arial"/>
          <w:sz w:val="24"/>
          <w:szCs w:val="24"/>
        </w:rPr>
        <w:t xml:space="preserve"> con possibilità di modificare la scelta e frazionarla anche su più comparti;</w:t>
      </w:r>
    </w:p>
    <w:p w14:paraId="78274BF7" w14:textId="77777777" w:rsidR="00384A46" w:rsidRPr="00A677F8" w:rsidRDefault="00384A46" w:rsidP="00A677F8">
      <w:pPr>
        <w:pStyle w:val="Paragrafoelenco"/>
        <w:numPr>
          <w:ilvl w:val="0"/>
          <w:numId w:val="12"/>
        </w:numPr>
        <w:spacing w:after="80" w:line="240" w:lineRule="auto"/>
        <w:ind w:left="709" w:right="-143" w:hanging="567"/>
        <w:jc w:val="both"/>
        <w:rPr>
          <w:rFonts w:ascii="Arial" w:hAnsi="Arial"/>
          <w:sz w:val="24"/>
          <w:szCs w:val="24"/>
        </w:rPr>
      </w:pPr>
      <w:r w:rsidRPr="00531DFC">
        <w:rPr>
          <w:rFonts w:ascii="Arial" w:hAnsi="Arial"/>
          <w:b/>
          <w:bCs/>
          <w:sz w:val="24"/>
          <w:szCs w:val="24"/>
        </w:rPr>
        <w:t>possibilità ogni anno di scegliere quanto versare</w:t>
      </w:r>
      <w:r w:rsidRPr="00A677F8">
        <w:rPr>
          <w:rFonts w:ascii="Arial" w:hAnsi="Arial"/>
          <w:sz w:val="24"/>
          <w:szCs w:val="24"/>
        </w:rPr>
        <w:t xml:space="preserve"> al Fondo restando comunque iscritti allo stesso;</w:t>
      </w:r>
    </w:p>
    <w:p w14:paraId="169A45DC" w14:textId="593D3886" w:rsidR="00384A46" w:rsidRDefault="00384A46" w:rsidP="00A677F8">
      <w:pPr>
        <w:pStyle w:val="Paragrafoelenco"/>
        <w:numPr>
          <w:ilvl w:val="0"/>
          <w:numId w:val="12"/>
        </w:numPr>
        <w:spacing w:after="80" w:line="240" w:lineRule="auto"/>
        <w:ind w:left="709" w:right="-143" w:hanging="567"/>
        <w:jc w:val="both"/>
        <w:rPr>
          <w:rFonts w:ascii="Arial" w:hAnsi="Arial"/>
          <w:sz w:val="24"/>
          <w:szCs w:val="24"/>
        </w:rPr>
      </w:pPr>
      <w:r w:rsidRPr="00A677F8">
        <w:rPr>
          <w:rFonts w:ascii="Arial" w:hAnsi="Arial"/>
          <w:sz w:val="24"/>
          <w:szCs w:val="24"/>
        </w:rPr>
        <w:t>influenza sulla governance e sulle scelte strategiche mediante l’elezione dell’Assemblea dei Delegati</w:t>
      </w:r>
      <w:r w:rsidR="007D14F7">
        <w:rPr>
          <w:rFonts w:ascii="Arial" w:hAnsi="Arial"/>
          <w:sz w:val="24"/>
          <w:szCs w:val="24"/>
        </w:rPr>
        <w:t>,</w:t>
      </w:r>
      <w:r w:rsidRPr="00A677F8">
        <w:rPr>
          <w:rFonts w:ascii="Arial" w:hAnsi="Arial"/>
          <w:sz w:val="24"/>
          <w:szCs w:val="24"/>
        </w:rPr>
        <w:t xml:space="preserve"> cui spetta la nomina del C</w:t>
      </w:r>
      <w:r w:rsidR="00531DFC">
        <w:rPr>
          <w:rFonts w:ascii="Arial" w:hAnsi="Arial"/>
          <w:sz w:val="24"/>
          <w:szCs w:val="24"/>
        </w:rPr>
        <w:t>onsiglio di amministrazione</w:t>
      </w:r>
      <w:r w:rsidRPr="00A677F8">
        <w:rPr>
          <w:rFonts w:ascii="Arial" w:hAnsi="Arial"/>
          <w:sz w:val="24"/>
          <w:szCs w:val="24"/>
        </w:rPr>
        <w:t>.</w:t>
      </w:r>
    </w:p>
    <w:p w14:paraId="07559AD5" w14:textId="77777777" w:rsidR="007D0C14" w:rsidRDefault="007D0C14" w:rsidP="007D0C14">
      <w:pPr>
        <w:pStyle w:val="Paragrafoelenco"/>
        <w:spacing w:after="80" w:line="240" w:lineRule="auto"/>
        <w:ind w:left="709" w:right="-143"/>
        <w:jc w:val="both"/>
        <w:rPr>
          <w:rFonts w:ascii="Arial" w:hAnsi="Arial"/>
          <w:sz w:val="24"/>
          <w:szCs w:val="24"/>
        </w:rPr>
      </w:pPr>
    </w:p>
    <w:p w14:paraId="655B063D" w14:textId="7BAD3CD9" w:rsidR="007D0C14" w:rsidRPr="007D0C14" w:rsidRDefault="007D0C14" w:rsidP="007D0C14">
      <w:pPr>
        <w:spacing w:after="80" w:line="240" w:lineRule="auto"/>
        <w:ind w:right="-143"/>
        <w:jc w:val="both"/>
        <w:rPr>
          <w:rFonts w:ascii="Arial" w:hAnsi="Arial"/>
          <w:sz w:val="24"/>
          <w:szCs w:val="24"/>
        </w:rPr>
      </w:pPr>
      <w:r w:rsidRPr="007D0C14">
        <w:rPr>
          <w:rFonts w:ascii="Arial" w:hAnsi="Arial"/>
          <w:sz w:val="24"/>
          <w:szCs w:val="24"/>
        </w:rPr>
        <w:t xml:space="preserve">Ogni ulteriore informazione e le relative modalità di adesione sono consultabili sul sito web del Fondo a seguente link: </w:t>
      </w:r>
      <w:hyperlink r:id="rId8" w:history="1">
        <w:r w:rsidRPr="00EA2DEB">
          <w:rPr>
            <w:rStyle w:val="Collegamentoipertestuale"/>
            <w:rFonts w:ascii="Arial" w:hAnsi="Arial"/>
            <w:sz w:val="24"/>
            <w:szCs w:val="24"/>
          </w:rPr>
          <w:t>https://www.fondosanita.it/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2644C860" w14:textId="77777777" w:rsidR="00163249" w:rsidRDefault="00163249" w:rsidP="0082164E">
      <w:pPr>
        <w:pStyle w:val="Paragrafoelenco"/>
        <w:spacing w:after="0" w:line="240" w:lineRule="auto"/>
        <w:ind w:left="709" w:right="-143"/>
        <w:jc w:val="both"/>
        <w:rPr>
          <w:rFonts w:ascii="Arial" w:hAnsi="Arial"/>
          <w:sz w:val="24"/>
          <w:szCs w:val="24"/>
        </w:rPr>
      </w:pPr>
    </w:p>
    <w:p w14:paraId="0CA5E450" w14:textId="05033A83" w:rsidR="0055138C" w:rsidRDefault="00AD16EB" w:rsidP="00E23C24">
      <w:pPr>
        <w:spacing w:after="8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  <w:r w:rsidRPr="00AD16EB">
        <w:rPr>
          <w:rFonts w:ascii="Arial" w:hAnsi="Arial"/>
          <w:sz w:val="24"/>
          <w:szCs w:val="24"/>
        </w:rPr>
        <w:t xml:space="preserve">Da ultimo, </w:t>
      </w:r>
      <w:r w:rsidR="00002198">
        <w:rPr>
          <w:rFonts w:ascii="Arial" w:hAnsi="Arial"/>
          <w:sz w:val="24"/>
          <w:szCs w:val="24"/>
        </w:rPr>
        <w:t>si rappresenta</w:t>
      </w:r>
      <w:r w:rsidRPr="00AD16EB">
        <w:rPr>
          <w:rFonts w:ascii="Arial" w:hAnsi="Arial"/>
          <w:sz w:val="24"/>
          <w:szCs w:val="24"/>
        </w:rPr>
        <w:t xml:space="preserve"> che</w:t>
      </w:r>
      <w:r>
        <w:rPr>
          <w:rFonts w:ascii="Arial" w:hAnsi="Arial"/>
          <w:b/>
          <w:bCs/>
          <w:sz w:val="24"/>
          <w:szCs w:val="24"/>
        </w:rPr>
        <w:t xml:space="preserve"> l</w:t>
      </w:r>
      <w:r w:rsidR="00E23C24" w:rsidRPr="007D14F7">
        <w:rPr>
          <w:rFonts w:ascii="Arial" w:hAnsi="Arial"/>
          <w:b/>
          <w:bCs/>
          <w:sz w:val="24"/>
          <w:szCs w:val="24"/>
        </w:rPr>
        <w:t>’</w:t>
      </w:r>
      <w:r w:rsidR="00E23C24" w:rsidRPr="00AA7D9B">
        <w:rPr>
          <w:rFonts w:ascii="Arial" w:hAnsi="Arial"/>
          <w:b/>
          <w:bCs/>
          <w:sz w:val="24"/>
          <w:szCs w:val="24"/>
        </w:rPr>
        <w:t>En</w:t>
      </w:r>
      <w:r w:rsidR="00002198">
        <w:rPr>
          <w:rFonts w:ascii="Arial" w:hAnsi="Arial"/>
          <w:b/>
          <w:bCs/>
          <w:sz w:val="24"/>
          <w:szCs w:val="24"/>
        </w:rPr>
        <w:t>paf</w:t>
      </w:r>
      <w:r w:rsidR="00E23C24" w:rsidRPr="00E23C24">
        <w:rPr>
          <w:rFonts w:ascii="Arial" w:hAnsi="Arial"/>
          <w:sz w:val="24"/>
          <w:szCs w:val="24"/>
        </w:rPr>
        <w:t xml:space="preserve">, </w:t>
      </w:r>
      <w:r w:rsidR="00E23C24" w:rsidRPr="007D0C14">
        <w:rPr>
          <w:rFonts w:ascii="Arial" w:hAnsi="Arial"/>
          <w:b/>
          <w:bCs/>
          <w:sz w:val="24"/>
          <w:szCs w:val="24"/>
        </w:rPr>
        <w:t>pur gestendo forme di previdenza obbligatoria,</w:t>
      </w:r>
      <w:r w:rsidR="00E23C24" w:rsidRPr="00E23C24">
        <w:rPr>
          <w:rFonts w:ascii="Arial" w:hAnsi="Arial"/>
          <w:sz w:val="24"/>
          <w:szCs w:val="24"/>
        </w:rPr>
        <w:t xml:space="preserve"> </w:t>
      </w:r>
      <w:r w:rsidR="00E23C24" w:rsidRPr="007D14F7">
        <w:rPr>
          <w:rFonts w:ascii="Arial" w:hAnsi="Arial"/>
          <w:b/>
          <w:bCs/>
          <w:sz w:val="24"/>
          <w:szCs w:val="24"/>
        </w:rPr>
        <w:t>c</w:t>
      </w:r>
      <w:r w:rsidR="00E23C24" w:rsidRPr="00AA7D9B">
        <w:rPr>
          <w:rFonts w:ascii="Arial" w:hAnsi="Arial"/>
          <w:b/>
          <w:bCs/>
          <w:sz w:val="24"/>
          <w:szCs w:val="24"/>
        </w:rPr>
        <w:t>onsidera pienamente coerente e non contraddittorio promuovere</w:t>
      </w:r>
      <w:r w:rsidR="00F850DB" w:rsidRPr="00AA7D9B">
        <w:rPr>
          <w:rFonts w:ascii="Arial" w:hAnsi="Arial"/>
          <w:b/>
          <w:bCs/>
          <w:sz w:val="24"/>
          <w:szCs w:val="24"/>
        </w:rPr>
        <w:t xml:space="preserve"> con </w:t>
      </w:r>
      <w:r w:rsidR="00635AB6" w:rsidRPr="00AA7D9B">
        <w:rPr>
          <w:rFonts w:ascii="Arial" w:hAnsi="Arial"/>
          <w:b/>
          <w:bCs/>
          <w:sz w:val="24"/>
          <w:szCs w:val="24"/>
        </w:rPr>
        <w:t>forza l’adesione</w:t>
      </w:r>
      <w:r w:rsidR="00E23C24" w:rsidRPr="00AA7D9B">
        <w:rPr>
          <w:rFonts w:ascii="Arial" w:hAnsi="Arial"/>
          <w:b/>
          <w:bCs/>
          <w:sz w:val="24"/>
          <w:szCs w:val="24"/>
        </w:rPr>
        <w:t xml:space="preserve"> alla previdenza complementare</w:t>
      </w:r>
      <w:r w:rsidR="00E23C24" w:rsidRPr="00E23C24">
        <w:rPr>
          <w:rFonts w:ascii="Arial" w:hAnsi="Arial"/>
          <w:sz w:val="24"/>
          <w:szCs w:val="24"/>
        </w:rPr>
        <w:t xml:space="preserve">. </w:t>
      </w:r>
      <w:r w:rsidR="00E23C24" w:rsidRPr="00AA7D9B">
        <w:rPr>
          <w:rFonts w:ascii="Arial" w:hAnsi="Arial"/>
          <w:b/>
          <w:bCs/>
          <w:sz w:val="24"/>
          <w:szCs w:val="24"/>
        </w:rPr>
        <w:t>Tale</w:t>
      </w:r>
      <w:r w:rsidR="00E23C24" w:rsidRPr="00E23C24">
        <w:rPr>
          <w:rFonts w:ascii="Arial" w:hAnsi="Arial"/>
          <w:sz w:val="24"/>
          <w:szCs w:val="24"/>
        </w:rPr>
        <w:t xml:space="preserve"> </w:t>
      </w:r>
      <w:r w:rsidR="00E23C24" w:rsidRPr="00AA7D9B">
        <w:rPr>
          <w:rFonts w:ascii="Arial" w:hAnsi="Arial"/>
          <w:b/>
          <w:bCs/>
          <w:sz w:val="24"/>
          <w:szCs w:val="24"/>
        </w:rPr>
        <w:t>forma integrativa</w:t>
      </w:r>
      <w:r w:rsidR="00E23C24" w:rsidRPr="00E23C24">
        <w:rPr>
          <w:rFonts w:ascii="Arial" w:hAnsi="Arial"/>
          <w:sz w:val="24"/>
          <w:szCs w:val="24"/>
        </w:rPr>
        <w:t>, infatti, non si pone in alternativa al sistema obbligatorio</w:t>
      </w:r>
      <w:r w:rsidR="007C4F7C">
        <w:rPr>
          <w:rFonts w:ascii="Arial" w:hAnsi="Arial"/>
          <w:sz w:val="24"/>
          <w:szCs w:val="24"/>
        </w:rPr>
        <w:t>,</w:t>
      </w:r>
      <w:r w:rsidR="00E23C24" w:rsidRPr="00E23C24">
        <w:rPr>
          <w:rFonts w:ascii="Arial" w:hAnsi="Arial"/>
          <w:sz w:val="24"/>
          <w:szCs w:val="24"/>
        </w:rPr>
        <w:t xml:space="preserve"> ma ne </w:t>
      </w:r>
      <w:r w:rsidR="00E23C24" w:rsidRPr="00AA7D9B">
        <w:rPr>
          <w:rFonts w:ascii="Arial" w:hAnsi="Arial"/>
          <w:b/>
          <w:bCs/>
          <w:sz w:val="24"/>
          <w:szCs w:val="24"/>
        </w:rPr>
        <w:t>rappresenta un necessario completamento</w:t>
      </w:r>
      <w:r w:rsidR="00E23C24" w:rsidRPr="00E23C24">
        <w:rPr>
          <w:rFonts w:ascii="Arial" w:hAnsi="Arial"/>
          <w:sz w:val="24"/>
          <w:szCs w:val="24"/>
        </w:rPr>
        <w:t xml:space="preserve">, alla luce delle attuali dinamiche demografiche ed economiche che riducono la capacità del sistema pubblico di garantire un tasso di sostituzione adeguato. </w:t>
      </w:r>
      <w:r w:rsidR="00E23C24" w:rsidRPr="00AA7D9B">
        <w:rPr>
          <w:rFonts w:ascii="Arial" w:hAnsi="Arial"/>
          <w:b/>
          <w:bCs/>
          <w:sz w:val="24"/>
          <w:szCs w:val="24"/>
        </w:rPr>
        <w:t xml:space="preserve">La previdenza complementare </w:t>
      </w:r>
      <w:r w:rsidR="00E23C24" w:rsidRPr="007D0C14">
        <w:rPr>
          <w:rFonts w:ascii="Arial" w:hAnsi="Arial"/>
          <w:b/>
          <w:bCs/>
          <w:sz w:val="24"/>
          <w:szCs w:val="24"/>
        </w:rPr>
        <w:t xml:space="preserve">assolve alla </w:t>
      </w:r>
      <w:r w:rsidR="00E23C24" w:rsidRPr="00AA7D9B">
        <w:rPr>
          <w:rFonts w:ascii="Arial" w:hAnsi="Arial"/>
          <w:b/>
          <w:bCs/>
          <w:sz w:val="24"/>
          <w:szCs w:val="24"/>
        </w:rPr>
        <w:t>funzione di rafforzare la tutela previdenziale degli iscritti</w:t>
      </w:r>
      <w:r w:rsidR="00E23C24" w:rsidRPr="00E23C24">
        <w:rPr>
          <w:rFonts w:ascii="Arial" w:hAnsi="Arial"/>
          <w:sz w:val="24"/>
          <w:szCs w:val="24"/>
        </w:rPr>
        <w:t>, colmando il divario tra ultimo reddito percepito e pensione obbligatoria</w:t>
      </w:r>
      <w:r w:rsidR="0055138C">
        <w:rPr>
          <w:rFonts w:ascii="Arial" w:hAnsi="Arial"/>
          <w:sz w:val="24"/>
          <w:szCs w:val="24"/>
        </w:rPr>
        <w:t>,</w:t>
      </w:r>
      <w:r w:rsidR="00E23C24" w:rsidRPr="00E23C24">
        <w:rPr>
          <w:rFonts w:ascii="Arial" w:hAnsi="Arial"/>
          <w:sz w:val="24"/>
          <w:szCs w:val="24"/>
        </w:rPr>
        <w:t xml:space="preserve"> attraverso meccanismi di capitalizzazione individuale che assicurano una protezione aggiuntiva e personalizzabile. </w:t>
      </w:r>
    </w:p>
    <w:p w14:paraId="7B8295DB" w14:textId="77777777" w:rsidR="00AA7D9B" w:rsidRDefault="00AA7D9B" w:rsidP="0055138C">
      <w:pPr>
        <w:spacing w:after="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</w:p>
    <w:p w14:paraId="16810063" w14:textId="78F70D9F" w:rsidR="00E23C24" w:rsidRDefault="00E23C24" w:rsidP="00E23C24">
      <w:pPr>
        <w:spacing w:after="8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  <w:r w:rsidRPr="00E30313">
        <w:rPr>
          <w:rFonts w:ascii="Arial" w:hAnsi="Arial"/>
          <w:b/>
          <w:bCs/>
          <w:sz w:val="24"/>
          <w:szCs w:val="24"/>
        </w:rPr>
        <w:t>L’incentivazione di tali strumenti risponde</w:t>
      </w:r>
      <w:r w:rsidR="00B27B85" w:rsidRPr="00E30313">
        <w:rPr>
          <w:rFonts w:ascii="Arial" w:hAnsi="Arial"/>
          <w:b/>
          <w:bCs/>
          <w:sz w:val="24"/>
          <w:szCs w:val="24"/>
        </w:rPr>
        <w:t>,</w:t>
      </w:r>
      <w:r w:rsidRPr="00E30313">
        <w:rPr>
          <w:rFonts w:ascii="Arial" w:hAnsi="Arial"/>
          <w:b/>
          <w:bCs/>
          <w:sz w:val="24"/>
          <w:szCs w:val="24"/>
        </w:rPr>
        <w:t xml:space="preserve"> pertanto</w:t>
      </w:r>
      <w:r w:rsidR="00B27B85" w:rsidRPr="00E30313">
        <w:rPr>
          <w:rFonts w:ascii="Arial" w:hAnsi="Arial"/>
          <w:b/>
          <w:bCs/>
          <w:sz w:val="24"/>
          <w:szCs w:val="24"/>
        </w:rPr>
        <w:t>,</w:t>
      </w:r>
      <w:r w:rsidRPr="00E30313">
        <w:rPr>
          <w:rFonts w:ascii="Arial" w:hAnsi="Arial"/>
          <w:b/>
          <w:bCs/>
          <w:sz w:val="24"/>
          <w:szCs w:val="24"/>
        </w:rPr>
        <w:t xml:space="preserve"> a un principio di responsabilità istituzionale</w:t>
      </w:r>
      <w:r w:rsidRPr="00E23C24">
        <w:rPr>
          <w:rFonts w:ascii="Arial" w:hAnsi="Arial"/>
          <w:sz w:val="24"/>
          <w:szCs w:val="24"/>
        </w:rPr>
        <w:t>, volto a garantire una maggiore sicurezza economica nel lungo periodo e ad accrescere la sostenibilità complessiva del sistema previdenziale.</w:t>
      </w:r>
    </w:p>
    <w:p w14:paraId="5D3FE3DC" w14:textId="77777777" w:rsidR="007A4B28" w:rsidRDefault="007A4B28" w:rsidP="007A4B28">
      <w:pPr>
        <w:spacing w:after="0" w:line="240" w:lineRule="auto"/>
        <w:ind w:right="-143" w:firstLine="708"/>
        <w:jc w:val="both"/>
        <w:rPr>
          <w:rFonts w:ascii="Arial" w:hAnsi="Arial"/>
          <w:sz w:val="24"/>
          <w:szCs w:val="24"/>
        </w:rPr>
      </w:pPr>
    </w:p>
    <w:sectPr w:rsidR="007A4B28" w:rsidSect="0064752F">
      <w:pgSz w:w="11906" w:h="16838"/>
      <w:pgMar w:top="851" w:right="1134" w:bottom="993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939E" w14:textId="77777777" w:rsidR="00E951BC" w:rsidRDefault="00E951BC" w:rsidP="00754E6A">
      <w:pPr>
        <w:spacing w:after="0" w:line="240" w:lineRule="auto"/>
      </w:pPr>
      <w:r>
        <w:separator/>
      </w:r>
    </w:p>
  </w:endnote>
  <w:endnote w:type="continuationSeparator" w:id="0">
    <w:p w14:paraId="7BF29316" w14:textId="77777777" w:rsidR="00E951BC" w:rsidRDefault="00E951BC" w:rsidP="0075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2CF1" w14:textId="77777777" w:rsidR="00E951BC" w:rsidRDefault="00E951BC" w:rsidP="00754E6A">
      <w:pPr>
        <w:spacing w:after="0" w:line="240" w:lineRule="auto"/>
      </w:pPr>
      <w:r>
        <w:separator/>
      </w:r>
    </w:p>
  </w:footnote>
  <w:footnote w:type="continuationSeparator" w:id="0">
    <w:p w14:paraId="48A684E8" w14:textId="77777777" w:rsidR="00E951BC" w:rsidRDefault="00E951BC" w:rsidP="0075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0CBC2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3EE7"/>
    <w:multiLevelType w:val="hybridMultilevel"/>
    <w:tmpl w:val="563CC996"/>
    <w:lvl w:ilvl="0" w:tplc="2CD2E40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DA4241"/>
    <w:multiLevelType w:val="multilevel"/>
    <w:tmpl w:val="D40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07A56"/>
    <w:multiLevelType w:val="hybridMultilevel"/>
    <w:tmpl w:val="6F5A5126"/>
    <w:lvl w:ilvl="0" w:tplc="4E384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91C99"/>
    <w:multiLevelType w:val="hybridMultilevel"/>
    <w:tmpl w:val="A83A3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A681B"/>
    <w:multiLevelType w:val="multilevel"/>
    <w:tmpl w:val="6886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3649E"/>
    <w:multiLevelType w:val="multilevel"/>
    <w:tmpl w:val="78D4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D6810"/>
    <w:multiLevelType w:val="multilevel"/>
    <w:tmpl w:val="1962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55EEF"/>
    <w:multiLevelType w:val="multilevel"/>
    <w:tmpl w:val="A81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4FBC"/>
    <w:multiLevelType w:val="multilevel"/>
    <w:tmpl w:val="2C3A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C31E3"/>
    <w:multiLevelType w:val="hybridMultilevel"/>
    <w:tmpl w:val="E2EAC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06ABC"/>
    <w:multiLevelType w:val="multilevel"/>
    <w:tmpl w:val="EAD4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5104B"/>
    <w:multiLevelType w:val="multilevel"/>
    <w:tmpl w:val="F71E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4757C"/>
    <w:multiLevelType w:val="hybridMultilevel"/>
    <w:tmpl w:val="E1FC2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342EB"/>
    <w:multiLevelType w:val="multilevel"/>
    <w:tmpl w:val="F92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F3F2F"/>
    <w:multiLevelType w:val="hybridMultilevel"/>
    <w:tmpl w:val="8FAAFA1A"/>
    <w:lvl w:ilvl="0" w:tplc="C3841122">
      <w:start w:val="1"/>
      <w:numFmt w:val="bullet"/>
      <w:lvlText w:val=""/>
      <w:lvlJc w:val="left"/>
      <w:pPr>
        <w:ind w:left="644" w:hanging="360"/>
      </w:pPr>
      <w:rPr>
        <w:rFonts w:ascii="Wingdings" w:eastAsia="Arial Unicode M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E7A3583"/>
    <w:multiLevelType w:val="multilevel"/>
    <w:tmpl w:val="4162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720CC"/>
    <w:multiLevelType w:val="multilevel"/>
    <w:tmpl w:val="BF68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E149C"/>
    <w:multiLevelType w:val="multilevel"/>
    <w:tmpl w:val="C174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F0864"/>
    <w:multiLevelType w:val="multilevel"/>
    <w:tmpl w:val="22DE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D49E0"/>
    <w:multiLevelType w:val="multilevel"/>
    <w:tmpl w:val="2870C5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AE1209"/>
    <w:multiLevelType w:val="hybridMultilevel"/>
    <w:tmpl w:val="4D24F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1997"/>
    <w:multiLevelType w:val="multilevel"/>
    <w:tmpl w:val="EEC4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673CD"/>
    <w:multiLevelType w:val="multilevel"/>
    <w:tmpl w:val="9C4C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CB7030"/>
    <w:multiLevelType w:val="hybridMultilevel"/>
    <w:tmpl w:val="882EC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C1FD5"/>
    <w:multiLevelType w:val="hybridMultilevel"/>
    <w:tmpl w:val="05BC4D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F7D44"/>
    <w:multiLevelType w:val="hybridMultilevel"/>
    <w:tmpl w:val="B906B4EC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B941F32"/>
    <w:multiLevelType w:val="hybridMultilevel"/>
    <w:tmpl w:val="9F7E3B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D127D"/>
    <w:multiLevelType w:val="multilevel"/>
    <w:tmpl w:val="A66021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86007"/>
    <w:multiLevelType w:val="multilevel"/>
    <w:tmpl w:val="930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10194"/>
    <w:multiLevelType w:val="multilevel"/>
    <w:tmpl w:val="52B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06178A"/>
    <w:multiLevelType w:val="multilevel"/>
    <w:tmpl w:val="626C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CF7DB4"/>
    <w:multiLevelType w:val="hybridMultilevel"/>
    <w:tmpl w:val="4F6A0454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04D4702"/>
    <w:multiLevelType w:val="multilevel"/>
    <w:tmpl w:val="81E0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30030"/>
    <w:multiLevelType w:val="multilevel"/>
    <w:tmpl w:val="AA5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FA3B2E"/>
    <w:multiLevelType w:val="multilevel"/>
    <w:tmpl w:val="F910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B90761"/>
    <w:multiLevelType w:val="hybridMultilevel"/>
    <w:tmpl w:val="7ADCA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64B18"/>
    <w:multiLevelType w:val="hybridMultilevel"/>
    <w:tmpl w:val="29C847CA"/>
    <w:lvl w:ilvl="0" w:tplc="A0E86E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CB47BF3"/>
    <w:multiLevelType w:val="multilevel"/>
    <w:tmpl w:val="C98C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B05C19"/>
    <w:multiLevelType w:val="multilevel"/>
    <w:tmpl w:val="E51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D01C73"/>
    <w:multiLevelType w:val="multilevel"/>
    <w:tmpl w:val="22D6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39585C"/>
    <w:multiLevelType w:val="multilevel"/>
    <w:tmpl w:val="2ABA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5110E9"/>
    <w:multiLevelType w:val="hybridMultilevel"/>
    <w:tmpl w:val="D01C55E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2A50643"/>
    <w:multiLevelType w:val="multilevel"/>
    <w:tmpl w:val="DD70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648FD"/>
    <w:multiLevelType w:val="hybridMultilevel"/>
    <w:tmpl w:val="BFCEF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467F9"/>
    <w:multiLevelType w:val="hybridMultilevel"/>
    <w:tmpl w:val="903821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740988">
    <w:abstractNumId w:val="10"/>
  </w:num>
  <w:num w:numId="2" w16cid:durableId="1634628891">
    <w:abstractNumId w:val="3"/>
  </w:num>
  <w:num w:numId="3" w16cid:durableId="808714862">
    <w:abstractNumId w:val="37"/>
  </w:num>
  <w:num w:numId="4" w16cid:durableId="960696510">
    <w:abstractNumId w:val="0"/>
  </w:num>
  <w:num w:numId="5" w16cid:durableId="777913204">
    <w:abstractNumId w:val="1"/>
  </w:num>
  <w:num w:numId="6" w16cid:durableId="974021264">
    <w:abstractNumId w:val="9"/>
  </w:num>
  <w:num w:numId="7" w16cid:durableId="801918774">
    <w:abstractNumId w:val="5"/>
  </w:num>
  <w:num w:numId="8" w16cid:durableId="1480923715">
    <w:abstractNumId w:val="11"/>
  </w:num>
  <w:num w:numId="9" w16cid:durableId="1014842711">
    <w:abstractNumId w:val="23"/>
  </w:num>
  <w:num w:numId="10" w16cid:durableId="677200330">
    <w:abstractNumId w:val="13"/>
  </w:num>
  <w:num w:numId="11" w16cid:durableId="1107502670">
    <w:abstractNumId w:val="15"/>
  </w:num>
  <w:num w:numId="12" w16cid:durableId="819541791">
    <w:abstractNumId w:val="42"/>
  </w:num>
  <w:num w:numId="13" w16cid:durableId="526715866">
    <w:abstractNumId w:val="8"/>
  </w:num>
  <w:num w:numId="14" w16cid:durableId="1303534076">
    <w:abstractNumId w:val="34"/>
  </w:num>
  <w:num w:numId="15" w16cid:durableId="1908833288">
    <w:abstractNumId w:val="29"/>
  </w:num>
  <w:num w:numId="16" w16cid:durableId="668408002">
    <w:abstractNumId w:val="45"/>
  </w:num>
  <w:num w:numId="17" w16cid:durableId="1110009742">
    <w:abstractNumId w:val="4"/>
  </w:num>
  <w:num w:numId="18" w16cid:durableId="1913656051">
    <w:abstractNumId w:val="14"/>
  </w:num>
  <w:num w:numId="19" w16cid:durableId="1508255504">
    <w:abstractNumId w:val="18"/>
  </w:num>
  <w:num w:numId="20" w16cid:durableId="202180182">
    <w:abstractNumId w:val="21"/>
  </w:num>
  <w:num w:numId="21" w16cid:durableId="818377373">
    <w:abstractNumId w:val="24"/>
  </w:num>
  <w:num w:numId="22" w16cid:durableId="1769153437">
    <w:abstractNumId w:val="25"/>
  </w:num>
  <w:num w:numId="23" w16cid:durableId="121702619">
    <w:abstractNumId w:val="44"/>
  </w:num>
  <w:num w:numId="24" w16cid:durableId="218518445">
    <w:abstractNumId w:val="36"/>
  </w:num>
  <w:num w:numId="25" w16cid:durableId="2138180276">
    <w:abstractNumId w:val="2"/>
  </w:num>
  <w:num w:numId="26" w16cid:durableId="1424952086">
    <w:abstractNumId w:val="22"/>
  </w:num>
  <w:num w:numId="27" w16cid:durableId="178665443">
    <w:abstractNumId w:val="27"/>
  </w:num>
  <w:num w:numId="28" w16cid:durableId="2115514263">
    <w:abstractNumId w:val="28"/>
  </w:num>
  <w:num w:numId="29" w16cid:durableId="709769629">
    <w:abstractNumId w:val="38"/>
  </w:num>
  <w:num w:numId="30" w16cid:durableId="865673679">
    <w:abstractNumId w:val="40"/>
  </w:num>
  <w:num w:numId="31" w16cid:durableId="1401487629">
    <w:abstractNumId w:val="19"/>
  </w:num>
  <w:num w:numId="32" w16cid:durableId="1543899393">
    <w:abstractNumId w:val="6"/>
  </w:num>
  <w:num w:numId="33" w16cid:durableId="1876504782">
    <w:abstractNumId w:val="16"/>
  </w:num>
  <w:num w:numId="34" w16cid:durableId="1529635166">
    <w:abstractNumId w:val="20"/>
  </w:num>
  <w:num w:numId="35" w16cid:durableId="1277299384">
    <w:abstractNumId w:val="32"/>
  </w:num>
  <w:num w:numId="36" w16cid:durableId="1171095186">
    <w:abstractNumId w:val="12"/>
  </w:num>
  <w:num w:numId="37" w16cid:durableId="1031304933">
    <w:abstractNumId w:val="41"/>
  </w:num>
  <w:num w:numId="38" w16cid:durableId="1059936529">
    <w:abstractNumId w:val="39"/>
  </w:num>
  <w:num w:numId="39" w16cid:durableId="915557881">
    <w:abstractNumId w:val="17"/>
  </w:num>
  <w:num w:numId="40" w16cid:durableId="1622682985">
    <w:abstractNumId w:val="7"/>
  </w:num>
  <w:num w:numId="41" w16cid:durableId="1630893244">
    <w:abstractNumId w:val="30"/>
  </w:num>
  <w:num w:numId="42" w16cid:durableId="765227690">
    <w:abstractNumId w:val="31"/>
  </w:num>
  <w:num w:numId="43" w16cid:durableId="1617717072">
    <w:abstractNumId w:val="33"/>
  </w:num>
  <w:num w:numId="44" w16cid:durableId="1205605201">
    <w:abstractNumId w:val="26"/>
  </w:num>
  <w:num w:numId="45" w16cid:durableId="179976655">
    <w:abstractNumId w:val="35"/>
  </w:num>
  <w:num w:numId="46" w16cid:durableId="155832407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D3"/>
    <w:rsid w:val="00001065"/>
    <w:rsid w:val="0000209A"/>
    <w:rsid w:val="00002198"/>
    <w:rsid w:val="00006FE2"/>
    <w:rsid w:val="0004513E"/>
    <w:rsid w:val="000534E5"/>
    <w:rsid w:val="000570B7"/>
    <w:rsid w:val="000573BC"/>
    <w:rsid w:val="00060BE0"/>
    <w:rsid w:val="00072C4B"/>
    <w:rsid w:val="0007495E"/>
    <w:rsid w:val="000774D6"/>
    <w:rsid w:val="00081DE4"/>
    <w:rsid w:val="00087F1E"/>
    <w:rsid w:val="000A35B5"/>
    <w:rsid w:val="000A38ED"/>
    <w:rsid w:val="000A6F1D"/>
    <w:rsid w:val="000B3F22"/>
    <w:rsid w:val="000C0ADC"/>
    <w:rsid w:val="000C6A7C"/>
    <w:rsid w:val="000C7DC4"/>
    <w:rsid w:val="000D5299"/>
    <w:rsid w:val="000D7172"/>
    <w:rsid w:val="000D7623"/>
    <w:rsid w:val="000F10B3"/>
    <w:rsid w:val="0010316C"/>
    <w:rsid w:val="00103321"/>
    <w:rsid w:val="00103785"/>
    <w:rsid w:val="00113BD0"/>
    <w:rsid w:val="001249B3"/>
    <w:rsid w:val="0012527E"/>
    <w:rsid w:val="00125479"/>
    <w:rsid w:val="00127BAE"/>
    <w:rsid w:val="0013372A"/>
    <w:rsid w:val="001371DA"/>
    <w:rsid w:val="00155CC7"/>
    <w:rsid w:val="00162435"/>
    <w:rsid w:val="00163249"/>
    <w:rsid w:val="00191C8D"/>
    <w:rsid w:val="0019358B"/>
    <w:rsid w:val="001959ED"/>
    <w:rsid w:val="001964A7"/>
    <w:rsid w:val="001B0E08"/>
    <w:rsid w:val="001B47D3"/>
    <w:rsid w:val="001B5C4B"/>
    <w:rsid w:val="001B5F8B"/>
    <w:rsid w:val="001C04B4"/>
    <w:rsid w:val="001D24AA"/>
    <w:rsid w:val="001F6298"/>
    <w:rsid w:val="001F7884"/>
    <w:rsid w:val="00206D2A"/>
    <w:rsid w:val="00221615"/>
    <w:rsid w:val="0022720B"/>
    <w:rsid w:val="00245E6F"/>
    <w:rsid w:val="00251EC0"/>
    <w:rsid w:val="00255C2F"/>
    <w:rsid w:val="0026787C"/>
    <w:rsid w:val="0028547E"/>
    <w:rsid w:val="0028685F"/>
    <w:rsid w:val="00287F90"/>
    <w:rsid w:val="00290C53"/>
    <w:rsid w:val="00297AB0"/>
    <w:rsid w:val="002A3E7E"/>
    <w:rsid w:val="002A4DE9"/>
    <w:rsid w:val="002A7401"/>
    <w:rsid w:val="00303B16"/>
    <w:rsid w:val="003079B9"/>
    <w:rsid w:val="003235E9"/>
    <w:rsid w:val="0034029A"/>
    <w:rsid w:val="00340DDC"/>
    <w:rsid w:val="003421F3"/>
    <w:rsid w:val="003444D2"/>
    <w:rsid w:val="00346358"/>
    <w:rsid w:val="0036619C"/>
    <w:rsid w:val="0037736D"/>
    <w:rsid w:val="00377613"/>
    <w:rsid w:val="00384A46"/>
    <w:rsid w:val="00385EC1"/>
    <w:rsid w:val="00395C87"/>
    <w:rsid w:val="003965D8"/>
    <w:rsid w:val="003A4F71"/>
    <w:rsid w:val="003B061A"/>
    <w:rsid w:val="003C4292"/>
    <w:rsid w:val="003C5652"/>
    <w:rsid w:val="003D72D8"/>
    <w:rsid w:val="003F0AFF"/>
    <w:rsid w:val="003F298B"/>
    <w:rsid w:val="003F3884"/>
    <w:rsid w:val="00403D54"/>
    <w:rsid w:val="00417876"/>
    <w:rsid w:val="00425C16"/>
    <w:rsid w:val="00433C92"/>
    <w:rsid w:val="00444982"/>
    <w:rsid w:val="00452D19"/>
    <w:rsid w:val="0045412A"/>
    <w:rsid w:val="00454D31"/>
    <w:rsid w:val="00456259"/>
    <w:rsid w:val="004566D0"/>
    <w:rsid w:val="0045741D"/>
    <w:rsid w:val="004831E1"/>
    <w:rsid w:val="004911EA"/>
    <w:rsid w:val="004B69B6"/>
    <w:rsid w:val="004D0478"/>
    <w:rsid w:val="004D46EA"/>
    <w:rsid w:val="004E06E4"/>
    <w:rsid w:val="004F25FB"/>
    <w:rsid w:val="005039ED"/>
    <w:rsid w:val="00506CA0"/>
    <w:rsid w:val="00527D7F"/>
    <w:rsid w:val="00531DFC"/>
    <w:rsid w:val="005337CE"/>
    <w:rsid w:val="00534E23"/>
    <w:rsid w:val="00536127"/>
    <w:rsid w:val="005443AA"/>
    <w:rsid w:val="00545DDE"/>
    <w:rsid w:val="0055138C"/>
    <w:rsid w:val="00551A10"/>
    <w:rsid w:val="00554D8A"/>
    <w:rsid w:val="00567C62"/>
    <w:rsid w:val="005839AF"/>
    <w:rsid w:val="005843BA"/>
    <w:rsid w:val="00593E9B"/>
    <w:rsid w:val="005C7554"/>
    <w:rsid w:val="005D6DB9"/>
    <w:rsid w:val="005E6CF0"/>
    <w:rsid w:val="005F066B"/>
    <w:rsid w:val="005F11CB"/>
    <w:rsid w:val="005F59AC"/>
    <w:rsid w:val="005F6CCA"/>
    <w:rsid w:val="00621330"/>
    <w:rsid w:val="0062153F"/>
    <w:rsid w:val="006325AD"/>
    <w:rsid w:val="00633005"/>
    <w:rsid w:val="00635AB6"/>
    <w:rsid w:val="0064543C"/>
    <w:rsid w:val="0064752F"/>
    <w:rsid w:val="0066083A"/>
    <w:rsid w:val="00666B70"/>
    <w:rsid w:val="006706A7"/>
    <w:rsid w:val="0067613D"/>
    <w:rsid w:val="00683A57"/>
    <w:rsid w:val="006A7E14"/>
    <w:rsid w:val="006B3707"/>
    <w:rsid w:val="006B3935"/>
    <w:rsid w:val="006C188C"/>
    <w:rsid w:val="006C7727"/>
    <w:rsid w:val="006F1270"/>
    <w:rsid w:val="006F307A"/>
    <w:rsid w:val="0070131B"/>
    <w:rsid w:val="00710678"/>
    <w:rsid w:val="0071482A"/>
    <w:rsid w:val="007276AE"/>
    <w:rsid w:val="00740BC4"/>
    <w:rsid w:val="00744C7A"/>
    <w:rsid w:val="00746D33"/>
    <w:rsid w:val="00750590"/>
    <w:rsid w:val="00754E6A"/>
    <w:rsid w:val="00757950"/>
    <w:rsid w:val="007666D3"/>
    <w:rsid w:val="007857EB"/>
    <w:rsid w:val="007A4B28"/>
    <w:rsid w:val="007A79C2"/>
    <w:rsid w:val="007B7BD6"/>
    <w:rsid w:val="007C35AB"/>
    <w:rsid w:val="007C4F7C"/>
    <w:rsid w:val="007C5EAE"/>
    <w:rsid w:val="007D0C14"/>
    <w:rsid w:val="007D14F7"/>
    <w:rsid w:val="007E3628"/>
    <w:rsid w:val="007E4176"/>
    <w:rsid w:val="00800347"/>
    <w:rsid w:val="00800669"/>
    <w:rsid w:val="0080406B"/>
    <w:rsid w:val="00807389"/>
    <w:rsid w:val="00811E54"/>
    <w:rsid w:val="008131F9"/>
    <w:rsid w:val="0082164E"/>
    <w:rsid w:val="0082473A"/>
    <w:rsid w:val="00831784"/>
    <w:rsid w:val="00833967"/>
    <w:rsid w:val="0083662A"/>
    <w:rsid w:val="00842B39"/>
    <w:rsid w:val="008548B9"/>
    <w:rsid w:val="008605F5"/>
    <w:rsid w:val="00860950"/>
    <w:rsid w:val="00873FF6"/>
    <w:rsid w:val="0087491B"/>
    <w:rsid w:val="00887B7B"/>
    <w:rsid w:val="00892537"/>
    <w:rsid w:val="008A07F9"/>
    <w:rsid w:val="008A4563"/>
    <w:rsid w:val="008A6EB3"/>
    <w:rsid w:val="008A76FF"/>
    <w:rsid w:val="008C6EDA"/>
    <w:rsid w:val="008E2C07"/>
    <w:rsid w:val="008F2F1E"/>
    <w:rsid w:val="008F68A8"/>
    <w:rsid w:val="00900966"/>
    <w:rsid w:val="0090348D"/>
    <w:rsid w:val="00910D5A"/>
    <w:rsid w:val="00913F99"/>
    <w:rsid w:val="00915710"/>
    <w:rsid w:val="00924333"/>
    <w:rsid w:val="00936082"/>
    <w:rsid w:val="0094358B"/>
    <w:rsid w:val="00945F20"/>
    <w:rsid w:val="009510E4"/>
    <w:rsid w:val="00957FA5"/>
    <w:rsid w:val="0097245F"/>
    <w:rsid w:val="00973160"/>
    <w:rsid w:val="0098252D"/>
    <w:rsid w:val="00982C09"/>
    <w:rsid w:val="00985E3B"/>
    <w:rsid w:val="00995F4E"/>
    <w:rsid w:val="009A15DB"/>
    <w:rsid w:val="009A4332"/>
    <w:rsid w:val="009A6D28"/>
    <w:rsid w:val="009A6F4F"/>
    <w:rsid w:val="009D650B"/>
    <w:rsid w:val="009F7641"/>
    <w:rsid w:val="00A04C66"/>
    <w:rsid w:val="00A1789B"/>
    <w:rsid w:val="00A27BBA"/>
    <w:rsid w:val="00A52A58"/>
    <w:rsid w:val="00A611A0"/>
    <w:rsid w:val="00A63E2B"/>
    <w:rsid w:val="00A677F8"/>
    <w:rsid w:val="00A9618D"/>
    <w:rsid w:val="00A96E21"/>
    <w:rsid w:val="00AA132E"/>
    <w:rsid w:val="00AA7D9B"/>
    <w:rsid w:val="00AB7638"/>
    <w:rsid w:val="00AC586D"/>
    <w:rsid w:val="00AD16EB"/>
    <w:rsid w:val="00AD3DED"/>
    <w:rsid w:val="00AE5ACE"/>
    <w:rsid w:val="00B007D0"/>
    <w:rsid w:val="00B14CD4"/>
    <w:rsid w:val="00B16799"/>
    <w:rsid w:val="00B27B85"/>
    <w:rsid w:val="00B40231"/>
    <w:rsid w:val="00B41146"/>
    <w:rsid w:val="00B4379D"/>
    <w:rsid w:val="00B44AAE"/>
    <w:rsid w:val="00B5219A"/>
    <w:rsid w:val="00B53ECE"/>
    <w:rsid w:val="00B62C28"/>
    <w:rsid w:val="00B73D59"/>
    <w:rsid w:val="00B75FC7"/>
    <w:rsid w:val="00B96B85"/>
    <w:rsid w:val="00BB42DC"/>
    <w:rsid w:val="00BB48D0"/>
    <w:rsid w:val="00BB72BC"/>
    <w:rsid w:val="00BC2B14"/>
    <w:rsid w:val="00BD3683"/>
    <w:rsid w:val="00BE3420"/>
    <w:rsid w:val="00BE7740"/>
    <w:rsid w:val="00BF3B32"/>
    <w:rsid w:val="00BF5FFB"/>
    <w:rsid w:val="00C05E5C"/>
    <w:rsid w:val="00C16F98"/>
    <w:rsid w:val="00C3558A"/>
    <w:rsid w:val="00C43141"/>
    <w:rsid w:val="00C44BE8"/>
    <w:rsid w:val="00C54A65"/>
    <w:rsid w:val="00C9024F"/>
    <w:rsid w:val="00CB0C7C"/>
    <w:rsid w:val="00CD2505"/>
    <w:rsid w:val="00CD3171"/>
    <w:rsid w:val="00CE14F6"/>
    <w:rsid w:val="00CE4413"/>
    <w:rsid w:val="00CE55F4"/>
    <w:rsid w:val="00CE70FE"/>
    <w:rsid w:val="00CE768E"/>
    <w:rsid w:val="00D01086"/>
    <w:rsid w:val="00D11092"/>
    <w:rsid w:val="00D13768"/>
    <w:rsid w:val="00D308A0"/>
    <w:rsid w:val="00D30B54"/>
    <w:rsid w:val="00D36BAD"/>
    <w:rsid w:val="00D424C3"/>
    <w:rsid w:val="00D46CE5"/>
    <w:rsid w:val="00D61705"/>
    <w:rsid w:val="00D77E8C"/>
    <w:rsid w:val="00D90DCD"/>
    <w:rsid w:val="00D957AF"/>
    <w:rsid w:val="00DA57BF"/>
    <w:rsid w:val="00DA71EC"/>
    <w:rsid w:val="00DC0F05"/>
    <w:rsid w:val="00DC5BED"/>
    <w:rsid w:val="00DD7F8F"/>
    <w:rsid w:val="00DE0FB1"/>
    <w:rsid w:val="00DF3EEC"/>
    <w:rsid w:val="00DF5E36"/>
    <w:rsid w:val="00E04E07"/>
    <w:rsid w:val="00E055CA"/>
    <w:rsid w:val="00E23C24"/>
    <w:rsid w:val="00E30313"/>
    <w:rsid w:val="00E51097"/>
    <w:rsid w:val="00E723E9"/>
    <w:rsid w:val="00E805A2"/>
    <w:rsid w:val="00E951BC"/>
    <w:rsid w:val="00EA1F96"/>
    <w:rsid w:val="00EA4996"/>
    <w:rsid w:val="00EA5035"/>
    <w:rsid w:val="00EA5BAB"/>
    <w:rsid w:val="00EF3AB1"/>
    <w:rsid w:val="00EF44F5"/>
    <w:rsid w:val="00F004A0"/>
    <w:rsid w:val="00F073B9"/>
    <w:rsid w:val="00F1340C"/>
    <w:rsid w:val="00F175A3"/>
    <w:rsid w:val="00F33245"/>
    <w:rsid w:val="00F352CD"/>
    <w:rsid w:val="00F4057D"/>
    <w:rsid w:val="00F43AD4"/>
    <w:rsid w:val="00F511B9"/>
    <w:rsid w:val="00F52EAA"/>
    <w:rsid w:val="00F54B70"/>
    <w:rsid w:val="00F6506B"/>
    <w:rsid w:val="00F7001A"/>
    <w:rsid w:val="00F706D9"/>
    <w:rsid w:val="00F7573D"/>
    <w:rsid w:val="00F771CE"/>
    <w:rsid w:val="00F806D7"/>
    <w:rsid w:val="00F850DB"/>
    <w:rsid w:val="00FA4A72"/>
    <w:rsid w:val="00FA5624"/>
    <w:rsid w:val="00FB069B"/>
    <w:rsid w:val="00FB4432"/>
    <w:rsid w:val="00FB7A6B"/>
    <w:rsid w:val="00FE166A"/>
    <w:rsid w:val="00FE2D25"/>
    <w:rsid w:val="00FE453F"/>
    <w:rsid w:val="00FE7DD4"/>
    <w:rsid w:val="00FF0FD4"/>
    <w:rsid w:val="00FF1A61"/>
    <w:rsid w:val="00FF55F2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D607A"/>
  <w15:docId w15:val="{3364DDDC-6589-4350-8B1D-58AE502D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4A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66D3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754E6A"/>
    <w:pPr>
      <w:spacing w:after="0" w:line="240" w:lineRule="auto"/>
      <w:ind w:firstLine="1134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54E6A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54E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54E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754E6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570B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4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43C"/>
  </w:style>
  <w:style w:type="paragraph" w:styleId="Pidipagina">
    <w:name w:val="footer"/>
    <w:basedOn w:val="Normale"/>
    <w:link w:val="PidipaginaCarattere"/>
    <w:uiPriority w:val="99"/>
    <w:unhideWhenUsed/>
    <w:rsid w:val="0064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43C"/>
  </w:style>
  <w:style w:type="paragraph" w:styleId="Puntoelenco">
    <w:name w:val="List Bullet"/>
    <w:basedOn w:val="Normale"/>
    <w:uiPriority w:val="99"/>
    <w:unhideWhenUsed/>
    <w:rsid w:val="00DC5BED"/>
    <w:pPr>
      <w:numPr>
        <w:numId w:val="4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799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5DD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32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25AD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06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osanit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10C38-4904-44F2-9804-B3A0647F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8799</CharactersWithSpaces>
  <SharedDoc>false</SharedDoc>
  <HLinks>
    <vt:vector size="12" baseType="variant">
      <vt:variant>
        <vt:i4>1441826</vt:i4>
      </vt:variant>
      <vt:variant>
        <vt:i4>3</vt:i4>
      </vt:variant>
      <vt:variant>
        <vt:i4>0</vt:i4>
      </vt:variant>
      <vt:variant>
        <vt:i4>5</vt:i4>
      </vt:variant>
      <vt:variant>
        <vt:lpwstr>mailto:informaordini@enpaf.it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mailto:informaordini@enpaf.it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ponzo</dc:creator>
  <cp:lastModifiedBy>segreteria ordine farmacisti</cp:lastModifiedBy>
  <cp:revision>2</cp:revision>
  <cp:lastPrinted>2026-03-24T15:55:00Z</cp:lastPrinted>
  <dcterms:created xsi:type="dcterms:W3CDTF">2026-03-30T10:21:00Z</dcterms:created>
  <dcterms:modified xsi:type="dcterms:W3CDTF">2026-03-30T10:21:00Z</dcterms:modified>
</cp:coreProperties>
</file>